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120" w:after="120" w:line="229" w:lineRule="atLeast"/>
        <w:pBdr>
          <w:top w:val="none" w:color="000000" w:sz="4" w:space="0"/>
          <w:left w:val="none" w:color="000000" w:sz="4" w:space="0"/>
          <w:bottom w:val="none" w:color="000000" w:sz="4" w:space="0"/>
          <w:right w:val="none" w:color="000000" w:sz="4" w:space="0"/>
        </w:pBdr>
      </w:pPr>
      <w:r>
        <w:t xml:space="preserve"> </w:t>
      </w:r>
      <w:r>
        <w:rPr>
          <w:rFonts w:ascii="Times New Roman" w:hAnsi="Times New Roman" w:eastAsia="Times New Roman" w:cs="Times New Roman"/>
          <w:color w:val="000000"/>
          <w:sz w:val="20"/>
        </w:rPr>
        <w:t xml:space="preserve"> </w:t>
      </w:r>
      <w:r>
        <w:rPr>
          <w:rFonts w:ascii="Arial" w:hAnsi="Arial" w:eastAsia="Arial" w:cs="Arial"/>
          <w:b/>
          <w:color w:val="000000"/>
          <w:sz w:val="84"/>
        </w:rPr>
        <w:t xml:space="preserve"> </w:t>
      </w:r>
      <w:r/>
    </w:p>
    <w:p>
      <w:pPr>
        <w:ind w:left="0" w:right="0" w:firstLine="0"/>
        <w:spacing w:before="240" w:after="240" w:line="22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80"/>
        <w:jc w:val="center"/>
        <w:spacing w:before="120" w:after="120" w:line="22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招　标　文　件</w:t>
      </w:r>
      <w:r/>
    </w:p>
    <w:p>
      <w:pPr>
        <w:ind w:left="0" w:right="0" w:firstLine="1506"/>
        <w:jc w:val="both"/>
        <w:spacing w:before="0" w:after="160" w:line="22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ind w:left="0" w:right="0" w:firstLine="1506"/>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项目名称：淳化街道胜利河双岗社区片区水环境提升工程设备及生产器具采购</w:t>
      </w:r>
      <w:r/>
    </w:p>
    <w:p>
      <w:pPr>
        <w:ind w:left="0" w:right="0" w:firstLine="1506"/>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编号：</w:t>
      </w:r>
      <w:r>
        <w:rPr>
          <w:rFonts w:ascii="Times New Roman" w:hAnsi="Times New Roman" w:eastAsia="Times New Roman" w:cs="Times New Roman"/>
          <w:b/>
          <w:color w:val="000000"/>
          <w:sz w:val="36"/>
        </w:rPr>
        <w:t xml:space="preserve"> </w:t>
      </w:r>
      <w:r>
        <w:rPr>
          <w:rFonts w:ascii="SimSun" w:hAnsi="SimSun" w:eastAsia="SimSun" w:cs="SimSun"/>
          <w:b/>
          <w:color w:val="000000"/>
          <w:sz w:val="36"/>
          <w:highlight w:val="white"/>
        </w:rPr>
        <w:t xml:space="preserve">JSZC-320115-JCGL-G2025-0011</w:t>
      </w:r>
      <w:r/>
    </w:p>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（专门面向中小企业）</w:t>
      </w:r>
      <w:r/>
    </w:p>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spacing w:before="240" w:after="240" w:line="22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120" w:after="120" w:line="22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40"/>
        </w:rPr>
        <w:t xml:space="preserve"> </w:t>
      </w:r>
      <w:r>
        <w:rPr>
          <w:rFonts w:ascii="SimSun" w:hAnsi="SimSun" w:eastAsia="SimSun" w:cs="SimSun"/>
          <w:b/>
          <w:color w:val="000000"/>
          <w:sz w:val="40"/>
        </w:rPr>
        <w:t xml:space="preserve">南京瑾承项目管理有限公司</w:t>
      </w:r>
      <w:r/>
    </w:p>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0"/>
        </w:rPr>
        <w:t xml:space="preserve">2025</w:t>
      </w:r>
      <w:r>
        <w:rPr>
          <w:rFonts w:ascii="SimSun" w:hAnsi="SimSun" w:eastAsia="SimSun" w:cs="SimSun"/>
          <w:b/>
          <w:color w:val="000000"/>
          <w:sz w:val="40"/>
        </w:rPr>
        <w:t xml:space="preserve">年</w:t>
      </w:r>
      <w:r>
        <w:rPr>
          <w:rFonts w:ascii="Times New Roman" w:hAnsi="Times New Roman" w:eastAsia="Times New Roman" w:cs="Times New Roman"/>
          <w:b/>
          <w:color w:val="000000"/>
          <w:sz w:val="40"/>
        </w:rPr>
        <w:t xml:space="preserve">11</w:t>
      </w:r>
      <w:r>
        <w:rPr>
          <w:rFonts w:ascii="SimSun" w:hAnsi="SimSun" w:eastAsia="SimSun" w:cs="SimSun"/>
          <w:b/>
          <w:color w:val="000000"/>
          <w:sz w:val="40"/>
        </w:rPr>
        <w:t xml:space="preserve">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总  目  录</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1"/>
        </w:numPr>
        <w:jc w:val="center"/>
        <w:spacing w:before="0" w:after="160" w:line="229"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投标邀请…………………………………… 3</w:t>
      </w:r>
      <w:r/>
    </w:p>
    <w:p>
      <w:pPr>
        <w:numPr>
          <w:ilvl w:val="0"/>
          <w:numId w:val="1"/>
        </w:numPr>
        <w:jc w:val="center"/>
        <w:spacing w:before="0" w:after="160" w:line="229"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 7</w:t>
      </w:r>
      <w:r/>
    </w:p>
    <w:p>
      <w:pPr>
        <w:numPr>
          <w:ilvl w:val="0"/>
          <w:numId w:val="1"/>
        </w:numPr>
        <w:jc w:val="center"/>
        <w:spacing w:before="0" w:after="160" w:line="229"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合同文本……………………………………21</w:t>
      </w:r>
      <w:r/>
    </w:p>
    <w:p>
      <w:pPr>
        <w:numPr>
          <w:ilvl w:val="0"/>
          <w:numId w:val="1"/>
        </w:numPr>
        <w:jc w:val="center"/>
        <w:spacing w:before="0" w:after="160" w:line="229"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采购需求……………………………………27</w:t>
      </w:r>
      <w:r/>
    </w:p>
    <w:p>
      <w:pPr>
        <w:numPr>
          <w:ilvl w:val="0"/>
          <w:numId w:val="1"/>
        </w:numPr>
        <w:jc w:val="center"/>
        <w:spacing w:before="0" w:after="160" w:line="229"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评标方法与评标标准………………………36</w:t>
      </w:r>
      <w:r/>
    </w:p>
    <w:p>
      <w:pPr>
        <w:numPr>
          <w:ilvl w:val="0"/>
          <w:numId w:val="1"/>
        </w:numPr>
        <w:jc w:val="center"/>
        <w:spacing w:before="0" w:after="160" w:line="229"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投标文件格式………………………………38</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rPr>
          <w:rFonts w:ascii="Times New Roman" w:hAnsi="Times New Roman" w:eastAsia="Times New Roman" w:cs="Times New Roman"/>
          <w:sz w:val="20"/>
        </w:rPr>
      </w:r>
      <w:r/>
    </w:p>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  投标邀请</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1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w:t>
      </w:r>
      <w:r>
        <w:rPr>
          <w:rFonts w:ascii="SimSun" w:hAnsi="SimSun" w:eastAsia="SimSun" w:cs="SimSun"/>
          <w:b/>
          <w:color w:val="000000"/>
          <w:sz w:val="24"/>
        </w:rPr>
        <w:t xml:space="preserve">南京市江宁区人民政府淳化街道办事处</w:t>
      </w:r>
      <w:r>
        <w:rPr>
          <w:rFonts w:ascii="SimSun" w:hAnsi="SimSun" w:eastAsia="SimSun" w:cs="SimSun"/>
          <w:color w:val="000000"/>
          <w:sz w:val="24"/>
        </w:rPr>
        <w:t xml:space="preserve">（采购单位）委托，</w:t>
      </w:r>
      <w:r>
        <w:rPr>
          <w:rFonts w:ascii="SimSun" w:hAnsi="SimSun" w:eastAsia="SimSun" w:cs="SimSun"/>
          <w:b/>
          <w:color w:val="000000"/>
          <w:sz w:val="24"/>
        </w:rPr>
        <w:t xml:space="preserve">南京瑾承项目管理有限公司</w:t>
      </w:r>
      <w:r>
        <w:rPr>
          <w:rFonts w:ascii="SimSun" w:hAnsi="SimSun" w:eastAsia="SimSun" w:cs="SimSun"/>
          <w:color w:val="000000"/>
          <w:sz w:val="24"/>
        </w:rPr>
        <w:t xml:space="preserve">（以下简称“代理机构”）就</w:t>
      </w:r>
      <w:r>
        <w:rPr>
          <w:rFonts w:ascii="SimSun" w:hAnsi="SimSun" w:eastAsia="SimSun" w:cs="SimSun"/>
          <w:b/>
          <w:color w:val="000000"/>
          <w:sz w:val="24"/>
        </w:rPr>
        <w:t xml:space="preserve">淳化街道胜利河双岗社区片区水环境提升工程设备及生产器具采购</w:t>
      </w:r>
      <w:r>
        <w:rPr>
          <w:rFonts w:ascii="SimSun" w:hAnsi="SimSun" w:eastAsia="SimSun" w:cs="SimSun"/>
          <w:color w:val="000000"/>
          <w:sz w:val="24"/>
        </w:rPr>
        <w:t xml:space="preserve">（项目名称）进行公开招标采购，欢迎符合条件的供应商投标。</w:t>
      </w:r>
      <w:r/>
    </w:p>
    <w:p>
      <w:pPr>
        <w:ind w:left="0" w:right="0" w:firstLine="373"/>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一、项目基本情况</w:t>
      </w:r>
      <w:r/>
    </w:p>
    <w:p>
      <w:pPr>
        <w:ind w:left="0" w:right="0" w:firstLine="480"/>
        <w:jc w:val="both"/>
        <w:spacing w:before="0" w:after="1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w:t>
      </w:r>
      <w:r>
        <w:rPr>
          <w:rFonts w:ascii="SimSun" w:hAnsi="SimSun" w:eastAsia="SimSun" w:cs="SimSun"/>
          <w:color w:val="000000"/>
          <w:sz w:val="24"/>
          <w:highlight w:val="white"/>
        </w:rPr>
        <w:t xml:space="preserve">JSZC-320115-JCGL-G2025-0011</w:t>
      </w:r>
      <w:r/>
    </w:p>
    <w:p>
      <w:pPr>
        <w:ind w:left="0" w:right="0" w:firstLine="480"/>
        <w:jc w:val="both"/>
        <w:spacing w:before="0" w:after="1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2.项目名称：淳化街道胜利河双岗社区片区水环境提升工程设备及生产器具采购</w:t>
      </w:r>
      <w:r/>
    </w:p>
    <w:p>
      <w:pPr>
        <w:ind w:left="0" w:right="0" w:firstLine="480"/>
        <w:jc w:val="both"/>
        <w:spacing w:before="0" w:after="1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3.预算金额：178.454万元</w:t>
      </w:r>
      <w:r/>
    </w:p>
    <w:p>
      <w:pPr>
        <w:ind w:left="0" w:right="0" w:firstLine="480"/>
        <w:jc w:val="both"/>
        <w:spacing w:before="0" w:after="1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4.最高限价：178.454万元</w:t>
      </w:r>
      <w:r/>
    </w:p>
    <w:p>
      <w:pPr>
        <w:ind w:left="0" w:right="0" w:firstLine="480"/>
        <w:jc w:val="both"/>
        <w:spacing w:before="0" w:after="1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5.采购内容：一体化污水提升泵站采购，具体采购明细及数量详见招标文件。</w:t>
      </w:r>
      <w:r/>
    </w:p>
    <w:p>
      <w:pPr>
        <w:ind w:left="0" w:right="0" w:firstLine="480"/>
        <w:jc w:val="both"/>
        <w:spacing w:before="0" w:after="1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6.合同履行期限：90天。</w:t>
      </w:r>
      <w:r/>
    </w:p>
    <w:p>
      <w:pPr>
        <w:ind w:left="0" w:right="0" w:firstLine="480"/>
        <w:jc w:val="both"/>
        <w:spacing w:before="0" w:after="1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7.本项目不接受进口产品投标</w:t>
      </w:r>
      <w:r/>
    </w:p>
    <w:p>
      <w:pPr>
        <w:ind w:left="0" w:right="0" w:firstLine="480"/>
        <w:jc w:val="both"/>
        <w:spacing w:before="0" w:after="1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8.本项目不接受联合体投标</w:t>
      </w:r>
      <w:r/>
    </w:p>
    <w:p>
      <w:pPr>
        <w:ind w:left="0" w:right="0" w:firstLine="373"/>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二、申请人的资格要求</w:t>
      </w:r>
      <w:r/>
    </w:p>
    <w:p>
      <w:pPr>
        <w:ind w:left="0" w:right="0" w:firstLine="480"/>
        <w:jc w:val="both"/>
        <w:spacing w:before="0" w:after="1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1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1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1.1具有独立承担民事责任的能力（提供法人或者其他组织的营业执照，自然人提供身份证明，提供复印件加盖公章并上传系统）；</w:t>
      </w:r>
      <w:r/>
    </w:p>
    <w:p>
      <w:pPr>
        <w:ind w:left="0" w:right="0" w:firstLine="480"/>
        <w:jc w:val="both"/>
        <w:spacing w:before="0" w:after="1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1.2具有良好的商业信誉和健全的财务会计制度（提供信用承诺书，格式见附件）；</w:t>
      </w:r>
      <w:r/>
    </w:p>
    <w:p>
      <w:pPr>
        <w:ind w:left="0" w:right="0" w:firstLine="480"/>
        <w:jc w:val="both"/>
        <w:spacing w:before="0" w:after="1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1.3具有履行合同所必需的设备和专业技术能力（提供信用承诺书，格式见附件）；</w:t>
      </w:r>
      <w:r/>
    </w:p>
    <w:p>
      <w:pPr>
        <w:ind w:left="0" w:right="0" w:firstLine="480"/>
        <w:jc w:val="both"/>
        <w:spacing w:before="0" w:after="1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1.4具有依法缴纳税收和社会保障资金的良好记录（提供信用承诺书，格式见附件）；</w:t>
      </w:r>
      <w:r/>
    </w:p>
    <w:p>
      <w:pPr>
        <w:ind w:left="0" w:right="0" w:firstLine="480"/>
        <w:jc w:val="both"/>
        <w:spacing w:before="0" w:after="1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1.5参加政府采购活动前三年内，在经营活动中没有重大违法记录（提供信用承诺书，格式见附件）；</w:t>
      </w:r>
      <w:r/>
    </w:p>
    <w:p>
      <w:pPr>
        <w:ind w:left="0" w:right="0" w:firstLine="480"/>
        <w:spacing w:before="0" w:after="16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2.落实政府采购政策需满足的资格要求：本项目专门面向中小企业采购，供应商应为中小企业、监狱企业、残疾人福利性单位。</w:t>
      </w:r>
      <w:r/>
    </w:p>
    <w:p>
      <w:pPr>
        <w:ind w:left="0" w:right="0" w:firstLine="720"/>
        <w:spacing w:before="0" w:after="16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提供《中小企业声明函》（格式见第六章）；监狱和戒毒企业视同小型企业，提供由省级以上监狱管理局、戒毒管理局(含新疆生产建设兵团)出具的属于监狱企业的证明文件；残疾人福利性单位视同小型企业，提供《残疾人福利性单位声明函》（格式见第六章）。</w:t>
      </w:r>
      <w:r/>
    </w:p>
    <w:p>
      <w:pPr>
        <w:ind w:left="0" w:right="0" w:firstLine="480"/>
        <w:jc w:val="both"/>
        <w:spacing w:before="0" w:after="1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本项目采购标的对应的中小企业划分标准所属行业为：</w:t>
      </w:r>
      <w:r>
        <w:rPr>
          <w:rFonts w:ascii="SimSun" w:hAnsi="SimSun" w:eastAsia="SimSun" w:cs="SimSun"/>
          <w:color w:val="000000"/>
          <w:sz w:val="24"/>
          <w:u w:val="single"/>
        </w:rPr>
        <w:t xml:space="preserve">工业</w:t>
      </w:r>
      <w:r>
        <w:rPr>
          <w:rFonts w:ascii="SimSun" w:hAnsi="SimSun" w:eastAsia="SimSun" w:cs="SimSun"/>
          <w:color w:val="000000"/>
          <w:sz w:val="24"/>
        </w:rPr>
        <w:t xml:space="preserve">。</w:t>
      </w:r>
      <w:r/>
    </w:p>
    <w:p>
      <w:pPr>
        <w:numPr>
          <w:ilvl w:val="0"/>
          <w:numId w:val="2"/>
        </w:numPr>
        <w:jc w:val="both"/>
        <w:spacing w:before="0" w:after="1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本项目的特定资格要求：无。</w:t>
      </w:r>
      <w:r/>
    </w:p>
    <w:p>
      <w:pPr>
        <w:ind w:left="0" w:right="0" w:firstLine="480"/>
        <w:jc w:val="both"/>
        <w:spacing w:before="0" w:after="1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（三）拒绝下述供应商参加本次采购活动：（提供承诺书）</w:t>
      </w:r>
      <w:r/>
    </w:p>
    <w:p>
      <w:pPr>
        <w:ind w:left="0" w:right="0" w:firstLine="480"/>
        <w:jc w:val="both"/>
        <w:spacing w:before="0" w:after="1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1.单位负责人为同一人或者存在直接控股、管理关系的不同供应商，不得参加同一合同项下的政府采购活动。</w:t>
      </w:r>
      <w:r/>
    </w:p>
    <w:p>
      <w:pPr>
        <w:ind w:left="0" w:right="0" w:firstLine="480"/>
        <w:jc w:val="both"/>
        <w:spacing w:before="0" w:after="1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2.为采购项目提供整体设计、规范编制或者项目管理、监理、检测等服务的供应商，不得参加本项目的采购活动。</w:t>
      </w:r>
      <w:r/>
    </w:p>
    <w:p>
      <w:pPr>
        <w:ind w:left="0" w:right="0" w:firstLine="480"/>
        <w:jc w:val="both"/>
        <w:spacing w:before="0" w:after="1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3.供应商被“信用中国”网站（www.creditchina.gov.cn）、“中国政府采购网”(www.ccgp.gov.cn)列入失信被执行人、重大税收违法案件当事人名单、政府采购严重违法失信行为记录名单。(提供网站截图和承诺书)</w:t>
      </w:r>
      <w:r/>
    </w:p>
    <w:p>
      <w:pPr>
        <w:ind w:left="0" w:right="0" w:firstLine="373"/>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三、获取招标文件</w:t>
      </w:r>
      <w:r/>
    </w:p>
    <w:p>
      <w:pPr>
        <w:ind w:left="0" w:right="0" w:firstLine="480"/>
        <w:jc w:val="both"/>
        <w:spacing w:before="0" w:after="1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1.时间：自招标文件公告发布之日起5个工作日。</w:t>
      </w:r>
      <w:r/>
    </w:p>
    <w:p>
      <w:pPr>
        <w:ind w:left="0" w:right="0" w:firstLine="480"/>
        <w:jc w:val="both"/>
        <w:spacing w:before="0" w:after="1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2.方式：在“江苏政府采购网”免费下载。</w:t>
      </w:r>
      <w:r/>
    </w:p>
    <w:p>
      <w:pPr>
        <w:ind w:left="0" w:right="0" w:firstLine="373"/>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四、提交投标文件截止时间、开标时间和地点</w:t>
      </w:r>
      <w:r/>
    </w:p>
    <w:p>
      <w:pPr>
        <w:ind w:left="0" w:right="0" w:firstLine="480"/>
        <w:jc w:val="both"/>
        <w:spacing w:before="0" w:after="1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1.提交投标文件截止时间、开标时间：2025年12月18日14时30分（北京时间）。</w:t>
      </w:r>
      <w:r/>
    </w:p>
    <w:p>
      <w:pPr>
        <w:ind w:left="0" w:right="0" w:firstLine="480"/>
        <w:jc w:val="both"/>
        <w:spacing w:before="0" w:after="1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2.地点：江苏省政府采购交易系统（以下简称“苏采云系统”）网上开标大厅。</w:t>
      </w:r>
      <w:r/>
    </w:p>
    <w:p>
      <w:pPr>
        <w:ind w:left="0" w:right="0" w:firstLine="373"/>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五、公告期限</w:t>
      </w:r>
      <w:r/>
    </w:p>
    <w:p>
      <w:pPr>
        <w:ind w:left="0" w:right="0" w:firstLine="480"/>
        <w:jc w:val="both"/>
        <w:spacing w:before="0" w:after="1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公告期限为自招标文件公告发布之日起5个工作日 。</w:t>
      </w:r>
      <w:r/>
    </w:p>
    <w:p>
      <w:pPr>
        <w:ind w:left="0" w:right="0" w:firstLine="373"/>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六、其他事宜</w:t>
      </w:r>
      <w:r/>
    </w:p>
    <w:p>
      <w:pPr>
        <w:ind w:left="0" w:right="0" w:firstLine="480"/>
        <w:jc w:val="both"/>
        <w:spacing w:before="0" w:after="16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1.本次招标不收取投标保证金。</w:t>
      </w:r>
      <w:r/>
    </w:p>
    <w:p>
      <w:pPr>
        <w:ind w:left="0" w:right="0" w:firstLine="480"/>
        <w:jc w:val="both"/>
        <w:spacing w:before="0" w:after="16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2.本项目不组织集中勘察及答疑，供应商如对采购需求有疑问，请咨询采购单位联系人。未勘察现场供应商也可参与本项目，但因未勘察现场造成的数据错误与报价偏差，责任自负。</w:t>
      </w:r>
      <w:r/>
    </w:p>
    <w:p>
      <w:pPr>
        <w:ind w:left="0" w:right="0" w:firstLine="480"/>
        <w:jc w:val="both"/>
        <w:spacing w:before="0" w:after="1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hyperlink r:id="rId9" w:tooltip="http://www.ccgp-jiangsu.gov.cn/jiangsu/zlxz/ee/ee3a4bc5a3454aa2b0d9312230633ce9.html" w:history="1">
        <w:r>
          <w:rPr>
            <w:rStyle w:val="804"/>
            <w:rFonts w:ascii="SimSun" w:hAnsi="SimSun" w:eastAsia="SimSun" w:cs="SimSun"/>
            <w:color w:val="000000"/>
            <w:sz w:val="24"/>
            <w:u w:val="single"/>
          </w:rPr>
          <w:t xml:space="preserve">下载地址</w:t>
        </w:r>
      </w:hyperlink>
      <w:r>
        <w:rPr>
          <w:rFonts w:ascii="SimSun" w:hAnsi="SimSun" w:eastAsia="SimSun" w:cs="SimSun"/>
          <w:color w:val="000000"/>
          <w:sz w:val="24"/>
        </w:rPr>
        <w:t xml:space="preserve">（CTRL+鼠标左键）。</w:t>
      </w:r>
      <w:r/>
    </w:p>
    <w:p>
      <w:pPr>
        <w:ind w:left="0" w:right="0" w:firstLine="480"/>
        <w:jc w:val="both"/>
        <w:spacing w:before="0" w:after="16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w:t>
      </w:r>
      <w:r>
        <w:rPr>
          <w:rFonts w:ascii="SimSun" w:hAnsi="SimSun" w:eastAsia="SimSun" w:cs="SimSun"/>
          <w:color w:val="000000"/>
          <w:sz w:val="24"/>
        </w:rPr>
        <w:t xml:space="preserve">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left="0" w:right="0" w:firstLine="480"/>
        <w:jc w:val="both"/>
        <w:spacing w:before="0" w:after="16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打印时间为本招标公告发布之日起至递交响应文件截止日前，未按上述要求提供信用记录表的，响应文件可能被拒绝接收。</w:t>
      </w:r>
      <w:r/>
    </w:p>
    <w:p>
      <w:pPr>
        <w:ind w:left="0" w:right="0" w:firstLine="480"/>
        <w:jc w:val="both"/>
        <w:spacing w:before="0" w:after="16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left="0" w:right="0" w:firstLine="480"/>
        <w:jc w:val="both"/>
        <w:spacing w:before="0" w:after="16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供应商在中标（成交）后，应按采购文件要求，将上述由信用承诺书替代的证明材料提交采购人或采购代理机构核验。经核验无误后，由采购人或采购代理机构发出中标（成交）通知书。</w:t>
      </w:r>
      <w:r/>
    </w:p>
    <w:p>
      <w:pPr>
        <w:ind w:left="0" w:right="0" w:firstLine="480"/>
        <w:jc w:val="both"/>
        <w:spacing w:before="0" w:after="16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供应商涉及以下情形的，不适用信用承诺：</w:t>
      </w:r>
      <w:r/>
    </w:p>
    <w:p>
      <w:pPr>
        <w:ind w:left="0" w:right="0" w:firstLine="480"/>
        <w:jc w:val="both"/>
        <w:spacing w:before="0" w:after="16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（1）供应商被列入严重失信主体名单；</w:t>
      </w:r>
      <w:r/>
    </w:p>
    <w:p>
      <w:pPr>
        <w:ind w:left="0" w:right="0" w:firstLine="480"/>
        <w:jc w:val="both"/>
        <w:spacing w:before="0" w:after="16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（2）被相关监管部门作出行政处罚且尚在处罚有效期内；</w:t>
      </w:r>
      <w:r/>
    </w:p>
    <w:p>
      <w:pPr>
        <w:ind w:left="0" w:right="0" w:firstLine="480"/>
        <w:jc w:val="both"/>
        <w:spacing w:before="0" w:after="16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（3）其他法律、行政法规规定的不适用信用承诺的情形。</w:t>
      </w:r>
      <w:r/>
    </w:p>
    <w:p>
      <w:pPr>
        <w:ind w:left="0" w:right="0" w:firstLine="480"/>
        <w:jc w:val="both"/>
        <w:spacing w:before="0" w:after="16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供应商对信用承诺内容的真实性、合法性、有效性负责。如作出虚假信用承诺，视同为“提供虚假材料谋取中标、成交”的违法行为。</w:t>
      </w:r>
      <w:r/>
    </w:p>
    <w:p>
      <w:pPr>
        <w:ind w:left="0" w:right="0" w:firstLine="480"/>
        <w:jc w:val="both"/>
        <w:spacing w:before="0" w:after="1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5.有关本次招标的事项若存在变动或修改，请及时关注“江苏政府采购网”（www.ccgp-jiangsu.gov.cn）更正公告。</w:t>
      </w:r>
      <w:r/>
    </w:p>
    <w:p>
      <w:pPr>
        <w:ind w:left="0" w:right="0" w:firstLine="373"/>
        <w:spacing w:before="145" w:after="14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七、本次招标联系方式</w:t>
      </w:r>
      <w:r/>
    </w:p>
    <w:p>
      <w:pPr>
        <w:ind w:left="0" w:right="0" w:firstLine="480"/>
        <w:jc w:val="both"/>
        <w:spacing w:before="0" w:after="1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w:t>
      </w:r>
      <w:r/>
    </w:p>
    <w:p>
      <w:pPr>
        <w:ind w:left="0" w:right="0" w:firstLine="480"/>
        <w:jc w:val="both"/>
        <w:spacing w:before="0" w:after="1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称：南京市江宁区人民政府淳化街道办事处         </w:t>
      </w:r>
      <w:r/>
    </w:p>
    <w:p>
      <w:pPr>
        <w:ind w:left="0" w:right="0" w:firstLine="480"/>
        <w:spacing w:before="75" w:after="75"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址：淳化街道土桥财政所同心街24号</w:t>
      </w:r>
      <w:r/>
    </w:p>
    <w:p>
      <w:pPr>
        <w:ind w:left="0" w:right="0" w:firstLine="480"/>
        <w:jc w:val="both"/>
        <w:spacing w:before="0" w:after="1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联系人：高工</w:t>
      </w:r>
      <w:r/>
    </w:p>
    <w:p>
      <w:pPr>
        <w:ind w:left="0" w:right="0" w:firstLine="480"/>
        <w:jc w:val="both"/>
        <w:spacing w:before="0" w:after="1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联系电话：025-52293669</w:t>
      </w:r>
      <w:r/>
    </w:p>
    <w:p>
      <w:pPr>
        <w:ind w:left="0" w:right="0" w:firstLine="480"/>
        <w:jc w:val="both"/>
        <w:spacing w:before="0" w:after="1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2.代理机构</w:t>
      </w:r>
      <w:r/>
    </w:p>
    <w:p>
      <w:pPr>
        <w:ind w:left="0" w:right="0" w:firstLine="480"/>
        <w:jc w:val="both"/>
        <w:spacing w:before="0" w:after="1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 南京瑾承项目管理有限公司</w:t>
      </w:r>
      <w:r/>
    </w:p>
    <w:p>
      <w:pPr>
        <w:ind w:left="0" w:right="0" w:firstLine="480"/>
        <w:jc w:val="both"/>
        <w:spacing w:before="0" w:after="1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址：南京市江宁区秣陵街道百家湖科技园9幢221室 </w:t>
      </w:r>
      <w:r/>
    </w:p>
    <w:p>
      <w:pPr>
        <w:ind w:left="0" w:right="0" w:firstLine="480"/>
        <w:jc w:val="both"/>
        <w:spacing w:before="0" w:after="1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联系人：李工</w:t>
      </w:r>
      <w:r/>
    </w:p>
    <w:p>
      <w:pPr>
        <w:ind w:left="0" w:right="0" w:firstLine="480"/>
        <w:jc w:val="both"/>
        <w:spacing w:before="0" w:after="1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联系电话：025-51180637</w:t>
      </w:r>
      <w:r/>
    </w:p>
    <w:p>
      <w:pPr>
        <w:ind w:left="0" w:right="0" w:firstLine="0"/>
        <w:jc w:val="both"/>
        <w:spacing w:before="0" w:after="160" w:line="460"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rPr>
          <w:rFonts w:ascii="Arial" w:hAnsi="Arial" w:eastAsia="Arial" w:cs="Arial"/>
          <w:sz w:val="24"/>
        </w:rPr>
      </w:r>
      <w:r/>
    </w:p>
    <w:p>
      <w:pPr>
        <w:ind w:left="0" w:right="0" w:firstLine="0"/>
        <w:jc w:val="center"/>
        <w:spacing w:before="240" w:after="240" w:line="229" w:lineRule="atLeast"/>
        <w:tabs>
          <w:tab w:val="left" w:pos="46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  投标人须知</w:t>
      </w:r>
      <w:r/>
    </w:p>
    <w:p>
      <w:pPr>
        <w:ind w:left="0" w:right="0" w:firstLine="373"/>
        <w:spacing w:before="145" w:after="145"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一、总则</w:t>
      </w:r>
      <w:r/>
    </w:p>
    <w:p>
      <w:pPr>
        <w:ind w:left="0" w:right="0" w:firstLine="361"/>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1.招标方式</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本次招标采取公开招标方式，本文件仅适用于招标公告中所述项目。</w:t>
      </w:r>
      <w:r/>
    </w:p>
    <w:p>
      <w:pPr>
        <w:ind w:left="0" w:right="0" w:firstLine="361"/>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2.合格的投标人</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满足招标公告对供应商资格要求的规定。</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满足招标文件规定的实质性要求和条件。</w:t>
      </w:r>
      <w:r/>
    </w:p>
    <w:p>
      <w:pPr>
        <w:ind w:left="0" w:right="0" w:firstLine="361"/>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3.适用法律</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361"/>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4.投标费用</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投标人应自行承担所有与参加投标有关的费用，无论投标过程中的做法和结果如何，代理机构在任何情况下均无义务和责任承担这些费用。</w:t>
      </w:r>
      <w:r/>
    </w:p>
    <w:p>
      <w:pPr>
        <w:ind w:left="0" w:right="0" w:firstLine="422"/>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本次招标代理费参照计价格[2002]1980号文标准收费标准的80%计取，由中标供应商支付，请充分考虑在投标报价中。</w:t>
      </w:r>
      <w:r/>
    </w:p>
    <w:p>
      <w:pPr>
        <w:ind w:left="0" w:right="0" w:firstLine="361"/>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5.招标文件的约束力</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投标人一旦参加本项目采购活动，即被认为接受了本文件的规定和约束。</w:t>
      </w:r>
      <w:r/>
    </w:p>
    <w:p>
      <w:pPr>
        <w:ind w:left="0" w:right="0" w:firstLine="373"/>
        <w:spacing w:before="145" w:after="145"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二、招标文件</w:t>
      </w:r>
      <w:r/>
    </w:p>
    <w:p>
      <w:pPr>
        <w:ind w:left="0" w:right="0" w:firstLine="361"/>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6.招标文件构成</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投标人应仔细检查招标文件是否齐全，如有缺漏请立即与代理机构联系。</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361"/>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7.招标文件的澄清</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任何要求对招标文件进行澄清的投标人，应在投标截止期十日前按招标公告中的通讯地址，以书面形式通知代理机构。</w:t>
      </w:r>
      <w:r/>
    </w:p>
    <w:p>
      <w:pPr>
        <w:ind w:left="0" w:right="0" w:firstLine="361"/>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8.招标文件的修改</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在投标截止时间前，代理机构可以对招标文件进行修改。招标文件的修改将在原公告媒体发布更正公告，更正内容将作为招标文件的组成部分，并对投标人具有约束力。</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代理机构有权按照法定的要求推迟投标截止日期和开标日期，并在原公告媒体发布更正公告。</w:t>
      </w:r>
      <w:r/>
    </w:p>
    <w:p>
      <w:pPr>
        <w:ind w:left="0" w:right="0" w:firstLine="373"/>
        <w:spacing w:before="145" w:after="145"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三、投标文件的编制</w:t>
      </w:r>
      <w:r/>
    </w:p>
    <w:p>
      <w:pPr>
        <w:ind w:left="0" w:right="0" w:firstLine="361"/>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9.投标文件的语言及度量衡单位</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投标人提交的投标文件以及投标人与代理机构就有关投标的所有来往通知、函件和文件均应使用简体中文。</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361"/>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10.投标文件构成</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资格证明文件、符合性证明文件、响应及偏离表、其他证明文件、投标函、开标一览表等部分。包括但不限于下列文件：供应商编写的磋商文件应包括但不限于下列文件（1）-（13）所述材料如提供不全或不满足招标文件的实质性要求，评标委员会有权否决供应商的投标）：</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（1）投标函（投标申请及声明）；</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（2）★法人授权书及委托代理人的身份证及合同复印件； </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（3）第一章投标邀请中第二条申请人的资格要求规定的资格证明材料；</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（4）★《南京市政府采购供应商信用记录表》；</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（5）供货一览表；</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（6）《商务条款偏离表》；</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（7）★《技术条款偏离表》；</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（8）验收标准；</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（9）供应商认为需要提供的其他技术资料；</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（10）磋商响应文件的有效性、完整性和响应程度审查；</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（11）现场安全文明措施承诺书；</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（12）质量保证，验收要求承诺（详见项目需求）及服务承诺</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（13）供应商认为需要提供的其他资格证明文件和商务资料。</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如标书制作工具中格式和内容与“江苏政府采购网”发布的招标文件不一致，以“江苏政府采购网”发布的招标文件为准。</w:t>
      </w:r>
      <w:r/>
    </w:p>
    <w:p>
      <w:pPr>
        <w:ind w:left="0" w:right="0" w:firstLine="361"/>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11.证明投标人及投标标的符合招标文件规定的文件</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投标人应按照法律、法规、规章和规范性文件以及招标文件要求提交证明文件，证明其投标标的符合招标文件规定。</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招标文件对证明文件无明确形式要求的，证明文件可以以文字资料、图纸和数据等形式提交。</w:t>
      </w:r>
      <w:r/>
    </w:p>
    <w:p>
      <w:pPr>
        <w:ind w:left="0" w:right="0" w:firstLine="361"/>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12.投标分项报价表（如有）</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投标文件中的单价和总价无特殊规定的采用人民币报价，以元为单位标注。招标文件另有规定的按规定执行。</w:t>
      </w:r>
      <w:r/>
    </w:p>
    <w:p>
      <w:pPr>
        <w:ind w:left="0" w:right="0" w:firstLine="361"/>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13.响应及偏离表</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投标人需对招标文件中的技术要求（采购需求）与商务要求逐项作出响应或偏离说明。</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投标人可以在投标文件中提供认为需要的其他技术文件或说明。</w:t>
      </w:r>
      <w:r/>
    </w:p>
    <w:p>
      <w:pPr>
        <w:ind w:left="0" w:right="0" w:firstLine="361"/>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14、投标函和开标一览表</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投标人应按照招标文件提供的格式完整、正确填写投标函、开标一览表，其缺项的将视为无效投标。</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对于采用货币报价的项目，开标一览表中的投标总报价应与投标分项报价表中的投标总报价一致，如不一致，不作为无效投标处理，但评标时按开标一览表中价格为准。</w:t>
      </w:r>
      <w:r/>
    </w:p>
    <w:p>
      <w:pPr>
        <w:ind w:left="0" w:right="0" w:firstLine="361"/>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15.投标有效期</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投标有效期为招标公告规定的开标之日起六十天。投标有效期比规定短的将被视为未实质性响应招标文件而被拒绝。</w:t>
      </w:r>
      <w:r/>
    </w:p>
    <w:p>
      <w:pPr>
        <w:ind w:left="0" w:right="0" w:firstLine="361"/>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16.投标有效期的延长</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满。</w:t>
      </w:r>
      <w:r/>
    </w:p>
    <w:p>
      <w:pPr>
        <w:ind w:left="0" w:right="0" w:firstLine="373"/>
        <w:spacing w:before="145" w:after="145"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四、投标文件的递交</w:t>
      </w:r>
      <w:r/>
    </w:p>
    <w:p>
      <w:pPr>
        <w:ind w:left="0" w:right="0" w:firstLine="361"/>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17.投标文件的递交</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投标人应当按照《操作手册》规定，在招标公告规定的投标截止时间前制作并上传电子投标文件。</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投标人应充分考虑网络环境、网络带宽等因素可能对投标产生的影响，如因投标人自身原因造成的电子投标文件上传不成功的，按照本招标文件第二章第25.1条规定做无效投标处理。</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 代理机构可以按照规定，通过修改招标文件酌情延长投标截止时间，在此情况下，投标人的所有权利和义务均以延长后新的截止时间为准。</w:t>
      </w:r>
      <w:r/>
    </w:p>
    <w:p>
      <w:pPr>
        <w:ind w:left="0" w:right="0" w:firstLine="361"/>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18.投标文件的拒收</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投标截止时间后上传的任何投标文件将被拒绝。</w:t>
      </w:r>
      <w:r/>
    </w:p>
    <w:p>
      <w:pPr>
        <w:ind w:left="0" w:right="0" w:firstLine="361"/>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19.投标文件的撤回和修改</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投标文件的撤回</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19.1.1 投标人可在投标截止时间前撤回其电子投标文件，具体操作方法见《操作手册》。</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19.1.2 投标人撤回电子投标文件，则认为其不再参与本项目投标活动。</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投标文件的修改</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19.2.1 投标人可在投标截止时间前对其电子投标文件进行修改，具体操作方法见《操作手册》。</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19.2.2 投标截止时间之后，投标人不得对其电子投标文件作任何修改。</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在投标截止时间至招标文件中规定的投标有效期满之间的这段时间内，投标人不得撤回其投标。</w:t>
      </w:r>
      <w:r/>
    </w:p>
    <w:p>
      <w:pPr>
        <w:ind w:left="0" w:right="0" w:firstLine="373"/>
        <w:spacing w:before="145" w:after="145"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五、开标与评标</w:t>
      </w:r>
      <w:r/>
    </w:p>
    <w:p>
      <w:pPr>
        <w:ind w:left="0" w:right="0" w:firstLine="361"/>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20.开标</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投标人在开标过程中涉及到的投标文件解密、开标结果确认等工作，应按照《操作手册》规定执行。</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投标人如果对开标过程和开标结果有疑义，应当根据《操作手册》规定提出，苏采云系统中《开标记录表》公布后5分钟内未提出的，视同认可开标结果。</w:t>
      </w:r>
      <w:r/>
    </w:p>
    <w:p>
      <w:pPr>
        <w:ind w:left="0" w:right="0" w:firstLine="361"/>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21.评标</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21.1评标由依法组建的评标委员会（以下简称“评委会”）进行。</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评委会由采购人代表和有关技术、经济或法律等方面的专家组成，且人员构成符合政府采购有关规定。</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评委会独立工作，负责评审所有投标文件并推荐中标候选人，或根据采购人授权直接确定中标人。</w:t>
      </w:r>
      <w:r/>
    </w:p>
    <w:p>
      <w:pPr>
        <w:ind w:left="0" w:right="0" w:firstLine="361"/>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22.评标过程的保密与公正</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凡是与审查、澄清、评价和比较投标的有关资料以及授标建议等，采购人、评委、代理机构均不得向投标人或与评标无关的其他人员透露。</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投标人不得以任何方式影响评标，否则其投标文件将被作为无效投标文件。</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代理机构和评委会不向未中标的投标人解释未中标原因，也不公布评标过程中的相关细节。</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采用综合评分法的项目，未中标的投标人可于中标结果公告期限届满之日起通过苏采云系统查看本单位的评审得分及排名情况。</w:t>
      </w:r>
      <w:r/>
    </w:p>
    <w:p>
      <w:pPr>
        <w:ind w:left="0" w:right="0" w:firstLine="361"/>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23.投标文件的澄清</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评标期间，评委会对投标文件中含义不明确、同类问题表述不一致或者有明显文字和计算错误的内容，有权要求投标人作出必要的澄清、说明或者补正。</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评委会并非对每个投标人都做澄清要求。</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接到评委会澄清、说明和补正要求的，投标人如未按规定作出澄清、说明和补正，其风险由投标人自行承担。</w:t>
      </w:r>
      <w:r/>
    </w:p>
    <w:p>
      <w:pPr>
        <w:ind w:left="0" w:right="0" w:firstLine="361"/>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24.投标文件的审查</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投标文件审查分为资格审查和符合性审查。</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 资格审查。依据法律法规和招标文件规定，由采购人对投标文件中的资格证明文件进行审查，并向评委会反馈审查结论。</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采购人进行资格审查时，将在“信用中国”网站（www.creditchina.gov.cn）查询投标人的信用记录，以确定投标人是否具备投标资格，查询结果留存并归档。</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接受联合体的项目，联合体成员存在不良信用记录的，视同联合体存在不良信用记录。</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24.1.2 符合性审查。依据招标文件的规定，由评委会从有效性、完整性和对招标文件的响应程度等方面对投标文件进行审查，以确定是否对招标文件的实质性要求作出响应。</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24.1.3 未通过资格审查或符合性审查的投标人，代理机构将通过苏采云系统告知其具体原因，评标结束后不再接受有关询问。</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评委会仅对实质性响应招标文件要求的投标文件进行详细评审。实质性响应的投标文件应该是与招标文件要求的全部条款、条件和规格相符，没有重大偏离或保留的文件。</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如果投标文件实质上没有响应招标文件的要求，评委会将予以拒绝，投标人不得通过修改或撤销不合要求的偏离或保留而使其投标成为实质性响应的投标。</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评委会将对确定为实质性响应的投标进行进一步审核，确定其是否有计算上或累加上的算术错误。修正错误的原则如下：</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 评委会将按上述修正错误的方法调整投标文件中的投标报价，并通过苏采云系统告知投标人，调整后的价格对投标人具有约束力。如果投标人不接受修正后的价格，则其投标将被拒绝。</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24.6 投标人在开、评标全过程中应保持通讯畅通，及时登录苏采云系统查阅、答复相关信息，并安排专人与代理机构及评委会联系。</w:t>
      </w:r>
      <w:r/>
    </w:p>
    <w:p>
      <w:pPr>
        <w:ind w:left="0" w:right="0" w:firstLine="361"/>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25.无效投标和废标</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 无效投标情形</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投标人在苏采云系统规定的时间内未成功解密电子投标文件。</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投标人未按照招标文件要求上传电子投标文件。</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同一投标人提交两个（含两个）以上不同的投标报价。</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25.1.4 投标人不具备招标文件中规定资格要求。</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25.1.5 投标人的报价超过了采购预算或最高限价。</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25.1.6 未通过符合性审查。</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25.1.7 不符合招标文件中实质性要求和条件（</w:t>
      </w:r>
      <w:r>
        <w:rPr>
          <w:rFonts w:ascii="SimSun" w:hAnsi="SimSun" w:eastAsia="SimSun" w:cs="SimSun"/>
          <w:b/>
          <w:color w:val="000000"/>
          <w:sz w:val="24"/>
        </w:rPr>
        <w:t xml:space="preserve">本文件中打“★”内容为实质性要求和条件</w:t>
      </w:r>
      <w:r>
        <w:rPr>
          <w:rFonts w:ascii="SimSun" w:hAnsi="SimSun" w:eastAsia="SimSun" w:cs="SimSun"/>
          <w:color w:val="000000"/>
          <w:sz w:val="24"/>
        </w:rPr>
        <w:t xml:space="preserve">）。</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25.1.9 投标文件含有采购人不能接受的附加条件。</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是磋商文件所确定的采购范围内的全部施工或服务的价格体现。投标报价：包括但不限于完成本项目的人工、机械、材料、施工技术、企业管理、税金、政策性文件规定及合同包含内的所有风险、责任等各项应有费用以及供应商认为需要的其他费用等，响应供应商应根据上述因素自行考虑投标报价。（供应商根据以上要求提供相应承诺书，格式自拟，未提供视为重大偏差)</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根据关于推动解决政府采购异常低价问题相关工作的通知(苏财购(2025)62号)</w:t>
      </w:r>
      <w:r/>
    </w:p>
    <w:p>
      <w:pPr>
        <w:ind w:left="0" w:right="0" w:firstLine="0"/>
        <w:jc w:val="both"/>
        <w:spacing w:before="0" w:after="160" w:line="22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采购人应在采购文件中明确评审委员会启动异常低价投标（响应）审查的情形和具体要求，包括：</w:t>
      </w:r>
      <w:r/>
    </w:p>
    <w:p>
      <w:pPr>
        <w:ind w:left="0" w:right="0" w:firstLine="480"/>
        <w:jc w:val="both"/>
        <w:spacing w:before="0" w:after="160" w:line="22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（一）评审过程中出现下列情形之一的，评审委员会应当启动异常低价投标（响应）审查程序：</w:t>
      </w:r>
      <w:r/>
    </w:p>
    <w:p>
      <w:pPr>
        <w:ind w:left="0" w:right="0" w:firstLine="480"/>
        <w:jc w:val="both"/>
        <w:spacing w:before="0" w:after="160" w:line="22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1．投标（响应）报价低于采购项目预算50%的，即投标（响应）报价&lt;采购项目预算×50%；</w:t>
      </w:r>
      <w:r/>
    </w:p>
    <w:p>
      <w:pPr>
        <w:ind w:left="0" w:right="0" w:firstLine="480"/>
        <w:jc w:val="both"/>
        <w:spacing w:before="0" w:after="160" w:line="22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2．投标（响应）报价低于采购项目最高限价45%的，即投标（响应）报价&lt;采购项目最高限价×45%；</w:t>
      </w:r>
      <w:r/>
    </w:p>
    <w:p>
      <w:pPr>
        <w:ind w:left="0" w:right="0" w:firstLine="480"/>
        <w:jc w:val="both"/>
        <w:spacing w:before="0" w:after="160" w:line="22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评审委员会认定的供应商报价过低、有可能影响产品质量或者不能诚信履约的其他情形。</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25.1.11 采购产品被财政部、国家发改委、生态环境部等列入“节能产品品目清单”强制采购范围，而投标人提供的产品不在强制采购范围内。</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25.1.12 投标文件（投标函、授权委托书、技术偏离表、商务偏离表等格式文件）未按照招标文件要求加盖电子公章和手写签字。</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25.1.13 投标函投标申请及声明内容不完整。</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25.1.14 法律法规及本招标文件规定的其他无效投标情形。</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废标情形</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25.2.1 符合资格条件的供应商或者对招标文件作实质响应的供应商不足三家。</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25.2.2 出现影响采购公正的违法、违规行为。</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25.2.3 因重大变故采购任务取消。</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25.2.4 评委会认定招标文件存在歧义、重大缺陷导致评审工作无法进行。</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25.2.5 因苏采云系统故障造成开标不成功。</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如出现投标截止时间后参加投标的供应商或者对招标文件作出实质性响应的供应商不足三家的情况，按政府采购相关规定执行。</w:t>
      </w:r>
      <w:r/>
    </w:p>
    <w:p>
      <w:pPr>
        <w:ind w:left="0" w:right="0" w:firstLine="373"/>
        <w:spacing w:before="145" w:after="145"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六、定标</w:t>
      </w:r>
      <w:r/>
    </w:p>
    <w:p>
      <w:pPr>
        <w:ind w:left="0" w:right="0" w:firstLine="361"/>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26.确定中标单位</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中标候选人的确定原则和数量见招标文件第五章。 </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按以下第（2）种方式确定中标人：</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（1）评委会直接确定排名第一的中标候选人为中标人；</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（2）采购人在评委会推荐的中标候选人中按顺序确定中标人。</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按第二种方式确定中标人的，代理机构自评审结束之日起两个工作日内将评审报告送达采购人，采购人自收到评审报告之日起五个工作日内，在评审报告推荐的中标候选人中按顺序确定中标人。</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代理机构将在“江苏政府采购网”发布中标公告，公告期限为1个工作日。</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 </w:t>
      </w:r>
      <w:r>
        <w:rPr>
          <w:rFonts w:ascii="SimSun" w:hAnsi="SimSun" w:eastAsia="SimSun" w:cs="SimSun"/>
          <w:b/>
          <w:color w:val="000000"/>
          <w:sz w:val="24"/>
        </w:rPr>
        <w:t xml:space="preserve">若有充分证据证明中标人有下列情况之一的，一经查实将被取消中标资格：</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26.4.1 提供虚假材料谋取中标。</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26.4.2 向评审专家、采购人或代理机构工作人员行贿或者提供其他不正当利益。</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26.4.3 与其他供应商、评审专家、采购人或代理机构工作人员恶意串通。</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26.4.4 属于本文件规定的无效投标情形，但在评标过程中未被评委会发现。</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26.4.5 采取不正当手段诋毁、排挤其他供应商。</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 </w:t>
      </w:r>
      <w:r>
        <w:rPr>
          <w:rFonts w:ascii="SimSun" w:hAnsi="SimSun" w:eastAsia="SimSun" w:cs="SimSun"/>
          <w:b/>
          <w:color w:val="000000"/>
          <w:sz w:val="24"/>
        </w:rPr>
        <w:t xml:space="preserve">有下列情形之一的视为投标人串通投标，投标无效：</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26.5.1 不同投标人的投标文件由同一单位或者个人编制。</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26.5.2 不同投标人委托同一单位或者个人办理投标事宜。</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26.5.3 不同投标人的投标文件载明的项目管理成员或者联系人员为同一人。</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26.5.4 不同投标人的投标文件异常一致或者投标报价呈规律性差异。</w:t>
      </w:r>
      <w:r/>
    </w:p>
    <w:p>
      <w:pPr>
        <w:ind w:left="0" w:right="0" w:firstLine="361"/>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27.中标通知书</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27.l 中标结果确定后，代理机构将向中标人发出《中标通知书》。中标人可在中标结果公告届满之日起三十日内，登录苏采云系统下载。</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《中标通知书》是合同的一个组成部分，对采购人和中标人均具有法律效力。《中标通知书》发出后，采购人改变中标结果或者中标人放弃中标项目的，应当依法承担法律责任。</w:t>
      </w:r>
      <w:r/>
    </w:p>
    <w:p>
      <w:pPr>
        <w:ind w:left="0" w:right="0" w:firstLine="373"/>
        <w:spacing w:before="145" w:after="145"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七、授予合同</w:t>
      </w:r>
      <w:r/>
    </w:p>
    <w:p>
      <w:pPr>
        <w:ind w:left="0" w:right="0" w:firstLine="361"/>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28.签订合同</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28.l 中标人应当在《中标通知书》发出之日起三十日内，按照招标文件确定的事项与采购人签订政府采购合同。采购人于合同签订后2个工作日内通过苏采云系统进行公示。</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招标文件、中标人的投标文件及招标过程中有关澄清、承诺文件均作为合同附件。</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中标人因自身原因拒绝与采购人签订合同的，不得参加采购人重新组织的采购活动，且将可能被拒绝参加该采购人一年内的其他政府采购活动。</w:t>
      </w:r>
      <w:r/>
    </w:p>
    <w:p>
      <w:pPr>
        <w:ind w:left="0" w:right="0" w:firstLine="361"/>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29.标的物的追加</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ind w:left="0" w:right="0" w:firstLine="361"/>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30.政府采购履约资金扶持政策</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 中标供应商可通过南京市公共资源交易平台网站“小企业融资平台”，选择相应的金融机构办理融资贷款。</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p>
    <w:p>
      <w:pPr>
        <w:ind w:left="0" w:right="0" w:firstLine="373"/>
        <w:spacing w:before="145" w:after="145"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八、质疑</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31.提出质疑的供应商应当是参与所质疑项目采购活动的供应商，潜在供应商依法获取其可质疑的采购文件的，可以对采购文件提出质疑。</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供应商认为采购文件、采购过程和采购结果使自己的权益受到损害的，可以在知道或应知其权益受到损害之日起七个工作日内，按照第34条、第35条之规定以书面形式向采购人或代理机构提出质疑。上述应知其权益受到损害之日是指：</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对采购文件提出质疑的，为收到采购文件之日或者采购文件公告期限届满之日。</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 对采购过程提出质疑的，为各采购程序环节结束之日。</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 对中标或者成交结果提出质疑的，为中标或者成交结果公告期限届满之日。</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33.供应商应当在法定质疑期内一次性提出针对同一采购程序环节的质疑。供应商如在法定期限内对同一采购程序环节提出多次质疑的，代理机构或采购人将只对供应商第一次质疑作出答复。</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34.供应商提出质疑应提交《质疑函》原件，且尽可能通过邮寄方式送达，代理机构和采购人不接受无运单的快件。《质疑函》应按照本招标文件中《质疑函范本》的格式和内容填写。</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供应商如组成联合体参加采购活动，《质疑函范本》中要求加盖公章之处，联合体各方均须按要求加盖公章。</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供应商（含潜在供应商）对采购方式、采购需求、供应商资格条件及审查结果、评标方法和评标标准、合同文本的询问、质疑向采购人提出，由采购人负责答复。对除上述事项以外其他事项的询问、质疑向代理机构提出，由代理机构负责答复。</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采购人《质疑函》接收人及联系方式见招标文件第一章。</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由采购人负责答复的质疑，采购人将《质疑答复函》抄送代理机构。</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36.以下情形的质疑不予受理：</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 内容不符合《政府采购质疑和投诉办法》第十二条规定的质疑。</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 超出政府采购法定期限的质疑。</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36.3 以传真、电子邮件等方式递交的非原件形式的质疑。</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36.4 未参加采购活动或在采购活动中自身权益未受到损害的供应商所提出的质疑。</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36.5 供应商组成联合体参加采购活动，联合体中任何一方或多方未按要求签字或签章、加盖公章的质疑。</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36.6 法律法规规定的其他不予受理情形。</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p>
    <w:p>
      <w:pPr>
        <w:ind w:left="0" w:right="0" w:firstLine="373"/>
        <w:spacing w:before="145" w:after="145"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九、政策功能落实</w:t>
      </w:r>
      <w:r/>
    </w:p>
    <w:p>
      <w:pPr>
        <w:ind w:left="0" w:right="0" w:firstLine="361"/>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38.促进中小企业发展</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38.1 本项目服务由中小企业承接的，投标供应商享受中小企业扶持政策。</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38.3 中小企业参加政府采购活动，应当出具《中小企业声明函》，否则不享受相关中小企业支持政策。</w:t>
      </w:r>
      <w:r>
        <w:rPr>
          <w:rFonts w:ascii="SimSun" w:hAnsi="SimSun" w:eastAsia="SimSun" w:cs="SimSun"/>
          <w:b/>
          <w:color w:val="000000"/>
          <w:sz w:val="24"/>
        </w:rPr>
        <w:t xml:space="preserve">所投所有产品必须为中小企业生产，《中小企业声明函》须对产品逐一进行注明生产企业为中小型，否则符合性检查不通过按废标处理。</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38.4 以联合体形式参加政府采购活动，联合体各方均为中小企业的，联合体视同中小企业。其中，联合体各方均为小微企业的，联合体视同小微企业。</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38.6 残疾人福利性单位视同小型、微型企业。按照《关于促进残疾人就业政府采购政策的通知》（财库〔2017〕141号）规定，残疾人福利单位需提供《残疾人福利性单位声明函》。</w:t>
      </w:r>
      <w:r/>
    </w:p>
    <w:p>
      <w:pPr>
        <w:ind w:left="0" w:right="0" w:firstLine="361"/>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39.节能环保产品</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39.2 采购产品属于政府强制采购节能产品的，供应商应当选择依据国家能效标准中二级能效（水效）指标认证的节能产品投标，签订合同时提供国家确定的认证机构出具的、处于有效期之内的节能产品认证证书。</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39.3 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ind w:left="0" w:right="0" w:firstLine="361"/>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40.绿色采购</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40.1 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left="0" w:right="0" w:firstLine="361"/>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41.创新产品采购</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 优先采购各级政府部门公开发布的有效期内的创新产品、首台套等《目录》内的创新产品。创新产品自进入《目录》起2年内视同具备相应销售业绩。</w:t>
      </w:r>
      <w:r/>
    </w:p>
    <w:p>
      <w:pPr>
        <w:ind w:left="0" w:right="0" w:firstLine="361"/>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42.网络产品、市场准入类产品采购</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 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w:t>
      </w:r>
      <w:r>
        <w:rPr>
          <w:rFonts w:ascii="SimSun" w:hAnsi="SimSun" w:eastAsia="SimSun" w:cs="SimSun"/>
          <w:color w:val="000000"/>
          <w:sz w:val="24"/>
        </w:rPr>
        <w:t xml:space="preserve">要求的条款。</w:t>
      </w:r>
      <w:r/>
    </w:p>
    <w:p>
      <w:pPr>
        <w:ind w:left="0" w:right="0" w:firstLine="420"/>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 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w:t>
      </w:r>
      <w:r>
        <w:rPr>
          <w:rFonts w:ascii="SimHei" w:hAnsi="SimHei" w:eastAsia="SimHei" w:cs="SimHei"/>
          <w:color w:val="000000"/>
          <w:sz w:val="36"/>
        </w:rPr>
        <w:t xml:space="preserve"> 合同草案条款</w:t>
      </w:r>
      <w:r/>
    </w:p>
    <w:p>
      <w:pPr>
        <w:ind w:left="0" w:right="0" w:firstLine="0"/>
        <w:jc w:val="both"/>
        <w:spacing w:before="0" w:after="16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16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（合同仅供参考）</w:t>
      </w:r>
      <w:r/>
    </w:p>
    <w:p>
      <w:pPr>
        <w:ind w:left="0" w:right="0" w:firstLine="720"/>
        <w:jc w:val="center"/>
        <w:spacing w:before="0" w:after="160" w:line="22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720"/>
        <w:jc w:val="center"/>
        <w:spacing w:before="0" w:after="160" w:line="22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104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52"/>
        </w:rPr>
        <w:t xml:space="preserve">南京市政府采购合同</w:t>
      </w:r>
      <w:r/>
    </w:p>
    <w:p>
      <w:pPr>
        <w:ind w:left="0" w:right="0" w:firstLine="1807"/>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807"/>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807"/>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807"/>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918"/>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合同编号 ：</w:t>
      </w:r>
      <w:r/>
    </w:p>
    <w:p>
      <w:pPr>
        <w:ind w:left="0" w:right="0" w:firstLine="1918"/>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 ：</w:t>
      </w:r>
      <w:r/>
    </w:p>
    <w:p>
      <w:pPr>
        <w:ind w:left="0" w:right="0" w:firstLine="1918"/>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 ：</w:t>
      </w:r>
      <w:r/>
    </w:p>
    <w:p>
      <w:pPr>
        <w:ind w:left="0" w:right="0" w:firstLine="1916"/>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 ：</w:t>
      </w:r>
      <w:r/>
    </w:p>
    <w:p>
      <w:pPr>
        <w:ind w:left="0" w:right="0" w:firstLine="1807"/>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签订日期 ：</w:t>
      </w:r>
      <w:r/>
    </w:p>
    <w:p>
      <w:pPr>
        <w:ind w:left="0" w:right="0" w:firstLine="632"/>
        <w:jc w:val="center"/>
        <w:spacing w:before="0" w:after="160" w:line="22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合同编号：</w:t>
      </w:r>
      <w:r>
        <w:rPr>
          <w:rFonts w:ascii="SimSun" w:hAnsi="SimSun" w:eastAsia="SimSun" w:cs="SimSun"/>
          <w:b/>
          <w:color w:val="000000"/>
          <w:sz w:val="24"/>
        </w:rPr>
        <w:t xml:space="preserve"> </w:t>
      </w:r>
      <w:r/>
    </w:p>
    <w:p>
      <w:pPr>
        <w:ind w:left="0" w:right="0" w:firstLine="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政府采购计划号：</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采购人（以下称甲方）</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住所地：</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住所地</w:t>
            </w:r>
            <w:r/>
          </w:p>
        </w:tc>
      </w:tr>
    </w:tbl>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根据《中华人民共和国政府采购法》、《中华人民共和国民法典》等法律法规的规定，甲乙双方按照招标结果签订本合同。</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第一条 合同标的</w:t>
      </w:r>
      <w:r>
        <w:rPr>
          <w:rFonts w:ascii="SimSun" w:hAnsi="SimSun" w:eastAsia="SimSun" w:cs="SimSun"/>
          <w:color w:val="000000"/>
          <w:sz w:val="24"/>
        </w:rPr>
        <w:t xml:space="preserve">  乙方根据甲方需求提供下列货物：</w:t>
      </w:r>
      <w:r>
        <w:rPr>
          <w:rFonts w:ascii="SimSun" w:hAnsi="SimSun" w:eastAsia="SimSun" w:cs="SimSun"/>
          <w:color w:val="000000"/>
          <w:sz w:val="24"/>
          <w:u w:val="single"/>
        </w:rPr>
        <w:t xml:space="preserve">                    </w:t>
      </w:r>
      <w:r>
        <w:rPr>
          <w:rFonts w:ascii="SimSun" w:hAnsi="SimSun" w:eastAsia="SimSun" w:cs="SimSun"/>
          <w:color w:val="000000"/>
          <w:sz w:val="24"/>
        </w:rPr>
        <w:t xml:space="preserve">，货物名称、规格及数量详见乙方投标文件。</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 合同总价款</w:t>
      </w:r>
      <w:r>
        <w:rPr>
          <w:rFonts w:ascii="SimSun" w:hAnsi="SimSun" w:eastAsia="SimSun" w:cs="SimSun"/>
          <w:color w:val="000000"/>
          <w:sz w:val="24"/>
        </w:rPr>
        <w:t xml:space="preserve">  本合同人民币总价款为___________（大写）人民币，分项价款在“投标报价表”中有明确规定。</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总价款是货物制造、包装、仓储、运输装缷、保险、安装（含指导软接）、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本合同总价款还包含乙方应当提供的伴随服务/售后服务费用。</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本合同执行期间合同总价款不变。</w:t>
      </w:r>
      <w:r/>
    </w:p>
    <w:p>
      <w:pPr>
        <w:ind w:left="0" w:right="0" w:firstLine="413"/>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 组成本合同的有关文件</w:t>
      </w:r>
      <w:r>
        <w:rPr>
          <w:rFonts w:ascii="SimSun" w:hAnsi="SimSun" w:eastAsia="SimSun" w:cs="SimSun"/>
          <w:color w:val="000000"/>
          <w:sz w:val="24"/>
        </w:rPr>
        <w:t xml:space="preserve">  下列关于</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     </w:t>
      </w:r>
      <w:r>
        <w:rPr>
          <w:rFonts w:ascii="SimSun" w:hAnsi="SimSun" w:eastAsia="SimSun" w:cs="SimSun"/>
          <w:color w:val="000000"/>
          <w:sz w:val="24"/>
          <w:u w:val="single"/>
        </w:rPr>
        <w:t xml:space="preserve"> 号</w:t>
      </w:r>
      <w:r>
        <w:rPr>
          <w:rFonts w:ascii="SimSun" w:hAnsi="SimSun" w:eastAsia="SimSun" w:cs="SimSun"/>
          <w:color w:val="000000"/>
          <w:sz w:val="24"/>
        </w:rPr>
        <w:t xml:space="preserve">标的招投标文件或与本次采购活动方式相适应的文件及有关附件是本合同不可分割的组成部分，与本合同具有同等法律效力，这些文件包括但不限于：</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（1）乙方提供的投标文件和投标报价表；           （2）供货一览表；</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（3）交货一览表；                               （4）技术规格响应表；</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（5）投标承诺；                                 （6）服务承诺；</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（7）中标通知书；                               （8）甲乙双方商定的其他文件等。</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 权利保证</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乙方应保证甲方在使用该货物或其任何一部分时不受第三方提出侵犯其专利权、版权、商标权或其他权利的起诉。一旦出现侵权，乙方应承担全部责任。</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 质量保证</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1、乙方所提供的货物的技术规格应与招标文件规定的技术规格及所附的“技术规格响应表”相一致；若技术性能无特殊说明，则按国家有关部门最新颁布的标准及规范为准。</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 包装要求</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2、每一包装单元内应附详细的装箱单和质量合格凭证。</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 交货和验收</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1、乙方应当在</w:t>
      </w:r>
      <w:r>
        <w:rPr>
          <w:rFonts w:ascii="SimSun" w:hAnsi="SimSun" w:eastAsia="SimSun" w:cs="SimSun"/>
          <w:b/>
          <w:color w:val="000000"/>
          <w:sz w:val="24"/>
        </w:rPr>
        <w:t xml:space="preserve">合同签订后</w:t>
      </w:r>
      <w:r>
        <w:rPr>
          <w:rFonts w:ascii="SimSun" w:hAnsi="SimSun" w:eastAsia="SimSun" w:cs="SimSun"/>
          <w:b/>
          <w:color w:val="000000"/>
          <w:sz w:val="24"/>
          <w:u w:val="single"/>
        </w:rPr>
        <w:t xml:space="preserve">     </w:t>
      </w:r>
      <w:r>
        <w:rPr>
          <w:rFonts w:ascii="SimSun" w:hAnsi="SimSun" w:eastAsia="SimSun" w:cs="SimSun"/>
          <w:b/>
          <w:color w:val="000000"/>
          <w:sz w:val="24"/>
        </w:rPr>
        <w:t xml:space="preserve">天内</w:t>
      </w:r>
      <w:r>
        <w:rPr>
          <w:rFonts w:ascii="SimSun" w:hAnsi="SimSun" w:eastAsia="SimSun" w:cs="SimSun"/>
          <w:color w:val="000000"/>
          <w:sz w:val="24"/>
        </w:rPr>
        <w:t xml:space="preserve">将货物交付甲方正常使用，地点由甲方指定。招标文件有约定的，从其约定。</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2、乙方交付的货物应当完全符合本合同或者招投标文件所规定的货物、数量和规格要求。乙方提供的货物不符合招投标文件和合同规定的，甲方有权拒收货物，由此引起的风险，由乙方承担。</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3、货物的到货验收包括：型号、规格、数量、外观质量、及货物包装是否完好。</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5、货物和系统调试验收的标准：按行业通行标准、厂方出厂标准和乙方投标文件的承诺（详见合同附件载明的标准，并不低于国家相关标准）。</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第八条 伴随服务／售后服务</w:t>
      </w:r>
      <w:r/>
    </w:p>
    <w:p>
      <w:pPr>
        <w:ind w:left="0" w:right="0" w:firstLine="420"/>
        <w:spacing w:before="0" w:after="160" w:line="360" w:lineRule="atLeast"/>
        <w:tabs>
          <w:tab w:val="left" w:pos="16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1、乙方应按照国家有关法律法规规章和“三包”规定以及合同所附的“服务承诺”提供服务。</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2、除前款规定外，乙方还应提供下列服务：</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（1）货物的现场安装、调试和/或启动监督；</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（2）就货物的安装、启动、运行及维护等对甲方人员进行免费培训。</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3、若招标文件中不包含有关伴随服务或售后服务的承诺，双方作如下约定：</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所购货物按乙方投标承诺提供免费维护和质量保证，保修费用计入总价。</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保修期内，乙方负责对其提供的货物整机进行维修和系统维护，不再收取任何费用，但不可抗力（如火灾、雷击等）造成的故障除外。</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 货物故障报修的响应时间按乙方投标承诺执行。</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 若货物故障在检修8工作小时后仍无法排除，乙方应在48小时内免费提供不低于故障货物规格型号档次的备用货物供甲方使用，直至故障货物修复。</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 所有货物保修服务方式均为乙方上门保修，即由乙方派员到货物使用现场维修，由此产生的一切费用均由乙方承担。</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 保修期后的货物维护由双方协商再定。</w:t>
      </w:r>
      <w:r/>
    </w:p>
    <w:p>
      <w:pPr>
        <w:ind w:left="0" w:right="0" w:firstLine="422"/>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第九条 履约保证金</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1、履约保证金采用以下第（3 ）种方式缴纳。</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（1）乙方在签订本合同时其投标保证金自动转为履约保证金。</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（2）乙方在签订本合同时，向采购人缴纳合同金额的10%作为履约保证金。</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（3）本项目乙方无需缴纳履约保证金。</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2、履约保证金的有效期为该项目免费维护期满时止。</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3、如乙方未能履行合同规定的义务，甲方有权从履约保证金中取得补偿。</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4、履约保证金扣除甲方应得的补偿后的余额在有效期满后七工作日内无息退还给乙方。</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第十条 合同款支付</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1、本合同项下所有款项均以人民币支付。</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2、本合同项下的采购资金由甲方自行支付，乙方向甲方开具发票。</w:t>
      </w:r>
      <w:r/>
    </w:p>
    <w:p>
      <w:pPr>
        <w:ind w:left="0" w:right="0" w:firstLine="422"/>
        <w:spacing w:before="0" w:after="16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3、付款条件：</w:t>
      </w:r>
      <w:r>
        <w:rPr>
          <w:rFonts w:ascii="SimSun" w:hAnsi="SimSun" w:eastAsia="SimSun" w:cs="SimSun"/>
          <w:color w:val="000000"/>
          <w:sz w:val="24"/>
        </w:rPr>
        <w:t xml:space="preserve">设备安装交付使用后付至合同价的30%，交付满一年后付至合同价的60%，交付满两年后付至合同价的80%，交付满三年后结清尾款。</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第十一条 违约责任</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１、甲方无正当理由拒收货物、拒付货物款的，由甲方向乙方偿付合同总价的5%违约金。</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２、甲方未按合同规定的期限向乙方支付货款的，每逾期1天甲方向乙方偿付欠款总额的5‰滞纳金，但累计滞纳金总额不超过欠款总额的5% 。</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３、如乙方不能交付货物、完成安装调试的，甲方有权扣留全部履约保证金；同时乙方应向甲方支付合同总价5%的违约金。</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４、乙方逾期交付的，每逾期1天，乙方向甲方偿付合同总额的5‰的滞纳金。如乙方逾期交付达10天，甲方有权解除合同，解除合同的通知自到达乙方时生效。</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５、乙方所交付的货物品种、型号、规格不符合合同规定的，甲方有权拒收。甲方拒收的，乙方应向甲方支付货款总额5%的违约金。甲方未拒收的，代理机构发现后将向有关部门反映，并责成乙方按照采购结果提供货物和服务，同时视情给予不退还部分或全部履约保证金、暂停一至三年参加甲方组织的政府采购活动的处理。</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６、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7、乙方未按本合同第九条的规定向甲方交付履约保证金的，应按应交付履约保证金的100%向甲方支付违约金，该违约金的支付不影响乙方应承担的其他违约责任。</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8、乙方未按本合同的规定和“服务承诺”提供伴随服务/售后服务的，应按合同总价款的5 %向甲方承担违约责任。</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9、乙方在承担上述4-7款一项或多项违约责任后，仍应继续履行合同规定的义务（甲方解除合同的除外）。甲方未能及时追究乙方的任何一项违约责任并不表明甲方放弃追究乙方该项或其他违约责任。</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10、乙方投标属虚假承诺，或经权威部门监测提供的货物不能满足招标文件要求，或是由于乙方的过错造成合同无法继续履行的，乙方履约保证金不予退还外，还应向甲方支付不少于合同总价30%赔偿金。</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11、乙方未按照采购需求中验收要求提供相应的检测报告及证书的，乙方应向甲方支付合同总价10%的违约金。</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严禁乙方转包和非法分包。严禁乙方擅自变更设计方案、增加价款和延误服务期限。根据《政府采购法》第四十九条、第五十条规定，政府采购合同双方当事人不得擅自变更、中止或者终止合同。根据《市政府印发关于严格南京市政府投资项目概算管理规定的通知》(宁政发(2021)22号)第条规定，施工图预算和项目决算均不得突破经批准的初步设计概算。如采购人确有特殊客观原因调整工程量，应按政府投资项目管理规定和“单一来源”采购程序规范实施，所有补充合同全部公开，且所有补充合同的金额累计不得超过原合同金额的 10%。涉及乙方、代理</w:t>
      </w:r>
      <w:r>
        <w:rPr>
          <w:rFonts w:ascii="SimSun" w:hAnsi="SimSun" w:eastAsia="SimSun" w:cs="SimSun"/>
          <w:color w:val="000000"/>
          <w:sz w:val="24"/>
        </w:rPr>
        <w:t xml:space="preserve">机构的违法行为，将依据《政府采购法》第七十七条、《政府采购法实施条例》第七十二条等规定给予罚款、暂停一至三年参加政府采购活动等处罚；对涉及甲方直接负责主管人员和其他直接责任人员的问题线索，移送其上级行政主管部门或纪检监察机关处理。</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第十二条 合同的变更和终止</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1、除《政府采购法》第50条第二款规定的情形外，本合同一经签订，甲乙双方不得擅自变更、中止或终止合同。</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2、除发生法律规定的不能预见、不能避免并不能克服的客观情况外，甲乙双方不得放弃或拒绝履行合同。乙方放弃或拒绝履行合同，保证金不予退还，在三年内不得参加甲方组织的政府采购活动。</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第十三条 合同的转让</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乙方不得擅自部分或全部转让其应履行的合同义务。</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第十四条 争议的解决</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1、因货物的质量问题发生争议的，应当邀请国家认可的质量检测机构对货物质量进行鉴定。货物符合标准的，鉴定费由甲方承担；货物不符合质量标准的，鉴定费由乙方承担。</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2、因履行本合同引起的或与本合同有关的争议，甲、乙双方应首先通过友好协商解决，如果协商不能解决争议，则采取以下第（1 ）种方式解决争议：</w:t>
      </w:r>
      <w:r/>
    </w:p>
    <w:p>
      <w:pPr>
        <w:ind w:left="0" w:right="0" w:firstLine="56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（1）向甲方所在地有管辖权的人民法院提起诉讼；</w:t>
      </w:r>
      <w:r/>
    </w:p>
    <w:p>
      <w:pPr>
        <w:ind w:left="0" w:right="0" w:firstLine="56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（2）向南京仲裁委员会按其仲裁规则申请仲裁。</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第十五条 诚实信用 </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乙方应诚实信用，严格按照招标文件要求和投标承诺履行合同，不向甲方进行商业贿赂或者提供不正当利益。</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第十六条 合同生效及其他</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1、本合同自签订之日起生效。</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2、本合同一式四份，甲乙双方各执二份。</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3、本合同应按照中华人民共和国的现行法律进行解释。</w:t>
      </w:r>
      <w:r/>
    </w:p>
    <w:p>
      <w:pPr>
        <w:ind w:left="0" w:right="0" w:firstLine="42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甲方（采购人）：（盖章）</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乙方（供应商）：（盖章）</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代表人：</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代表人：</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r>
      <w:tr>
        <w:trPr>
          <w:trHeight w:val="28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帐    号：</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帐    号：</w:t>
            </w:r>
            <w:r/>
          </w:p>
          <w:p>
            <w:pPr>
              <w:ind w:left="0" w:right="0" w:firstLine="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年    月    日</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643" w:type="dxa"/>
            <w:vAlign w:val="top"/>
            <w:textDirection w:val="lrTb"/>
            <w:noWrap w:val="false"/>
          </w:tcPr>
          <w:p>
            <w:pPr>
              <w:ind w:left="0" w:right="0" w:firstLine="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  </w:t>
      </w:r>
      <w:r>
        <w:rPr>
          <w:rFonts w:ascii="SimSun" w:hAnsi="SimSun" w:eastAsia="SimSun" w:cs="SimSun"/>
          <w:b/>
          <w:color w:val="000000"/>
          <w:spacing w:val="-10"/>
          <w:sz w:val="36"/>
        </w:rPr>
        <w:t xml:space="preserve">采购需求</w:t>
      </w:r>
      <w:r/>
    </w:p>
    <w:p>
      <w:pPr>
        <w:ind w:left="0" w:right="0" w:firstLine="422"/>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一、项目名称：</w:t>
      </w:r>
      <w:r>
        <w:rPr>
          <w:rFonts w:ascii="SimSun" w:hAnsi="SimSun" w:eastAsia="SimSun" w:cs="SimSun"/>
          <w:color w:val="000000"/>
          <w:sz w:val="24"/>
        </w:rPr>
        <w:t xml:space="preserve">淳化街道胜利河双岗社区片区水环境提升工程设备及生产器具采购</w:t>
      </w:r>
      <w:r/>
    </w:p>
    <w:p>
      <w:pPr>
        <w:ind w:left="0" w:right="0" w:firstLine="422"/>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二、本次招标最高限价</w:t>
      </w:r>
      <w:r>
        <w:rPr>
          <w:rFonts w:ascii="SimSun" w:hAnsi="SimSun" w:eastAsia="SimSun" w:cs="SimSun"/>
          <w:color w:val="000000"/>
          <w:sz w:val="24"/>
        </w:rPr>
        <w:t xml:space="preserve">为178.454万元，超过最高限价为废标。</w:t>
      </w:r>
      <w:r/>
    </w:p>
    <w:p>
      <w:pPr>
        <w:ind w:left="0" w:right="0" w:firstLine="422"/>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SimSun" w:hAnsi="SimSun" w:eastAsia="SimSun" w:cs="SimSun"/>
          <w:b/>
          <w:color w:val="000000"/>
          <w:sz w:val="24"/>
        </w:rPr>
        <w:t xml:space="preserve">三、技术要求</w:t>
      </w:r>
      <w:r/>
    </w:p>
    <w:p>
      <w:pPr>
        <w:ind w:left="0" w:right="0" w:firstLine="468"/>
        <w:jc w:val="both"/>
        <w:spacing w:before="78"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一体化预制泵站由井筒、潜水泵、格栅系统、提</w:t>
      </w:r>
      <w:r>
        <w:rPr>
          <w:rFonts w:ascii="SimSun" w:hAnsi="SimSun" w:eastAsia="SimSun" w:cs="SimSun"/>
          <w:color w:val="000000"/>
          <w:spacing w:val="-4"/>
          <w:sz w:val="24"/>
        </w:rPr>
        <w:t xml:space="preserve">升链、管道、阀门、液位传</w:t>
      </w:r>
      <w:r>
        <w:rPr>
          <w:rFonts w:ascii="SimSun" w:hAnsi="SimSun" w:eastAsia="SimSun" w:cs="SimSun"/>
          <w:color w:val="000000"/>
          <w:spacing w:val="-6"/>
          <w:sz w:val="24"/>
        </w:rPr>
        <w:t xml:space="preserve">感器、控制系统、通风系统、除臭设备和电缆等部件组成（具体设备、材料等要求详见图纸）。一体化预制泵</w:t>
      </w:r>
      <w:r>
        <w:rPr>
          <w:rFonts w:ascii="SimSun" w:hAnsi="SimSun" w:eastAsia="SimSun" w:cs="SimSun"/>
          <w:color w:val="000000"/>
          <w:spacing w:val="-7"/>
          <w:sz w:val="24"/>
        </w:rPr>
        <w:t xml:space="preserve">站由专业厂家量身定制，整体在工厂制造完成（含泵体、水泵、电气设备、自动化控制设备</w:t>
      </w:r>
      <w:r>
        <w:rPr>
          <w:rFonts w:ascii="SimSun" w:hAnsi="SimSun" w:eastAsia="SimSun" w:cs="SimSun"/>
          <w:color w:val="000000"/>
          <w:spacing w:val="-12"/>
          <w:sz w:val="24"/>
        </w:rPr>
        <w:t xml:space="preserve">）</w:t>
      </w:r>
      <w:r>
        <w:rPr>
          <w:rFonts w:ascii="SimSun" w:hAnsi="SimSun" w:eastAsia="SimSun" w:cs="SimSun"/>
          <w:color w:val="000000"/>
          <w:spacing w:val="30"/>
          <w:sz w:val="24"/>
        </w:rPr>
        <w:t xml:space="preserve">，</w:t>
      </w:r>
      <w:r>
        <w:rPr>
          <w:rFonts w:ascii="SimSun" w:hAnsi="SimSun" w:eastAsia="SimSun" w:cs="SimSun"/>
          <w:color w:val="000000"/>
          <w:spacing w:val="-7"/>
          <w:sz w:val="24"/>
        </w:rPr>
        <w:t xml:space="preserve">现场进行</w:t>
      </w:r>
      <w:r>
        <w:rPr>
          <w:rFonts w:ascii="SimSun" w:hAnsi="SimSun" w:eastAsia="SimSun" w:cs="SimSun"/>
          <w:color w:val="000000"/>
          <w:spacing w:val="-4"/>
          <w:sz w:val="24"/>
        </w:rPr>
        <w:t xml:space="preserve">安装和调试。</w:t>
      </w:r>
      <w:r/>
    </w:p>
    <w:p>
      <w:pPr>
        <w:ind w:left="0" w:right="0" w:firstLine="472"/>
        <w:jc w:val="both"/>
        <w:spacing w:before="142"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图1 一体化泵站示意图</w:t>
      </w:r>
      <w:r/>
    </w:p>
    <w:p>
      <w:pPr>
        <w:ind w:left="0" w:right="0" w:firstLine="1200"/>
        <w:jc w:val="both"/>
        <w:spacing w:before="142" w:after="160" w:line="22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905375" cy="556260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75586" name=""/>
                        <pic:cNvPicPr>
                          <a:picLocks noChangeAspect="1"/>
                        </pic:cNvPicPr>
                        <pic:nvPr/>
                      </pic:nvPicPr>
                      <pic:blipFill>
                        <a:blip r:embed="rId10"/>
                        <a:stretch/>
                      </pic:blipFill>
                      <pic:spPr bwMode="auto">
                        <a:xfrm>
                          <a:off x="0" y="0"/>
                          <a:ext cx="4905374" cy="55625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86.2pt;height:438.0pt;mso-wrap-distance-left:0.0pt;mso-wrap-distance-top:0.0pt;mso-wrap-distance-right:0.0pt;mso-wrap-distance-bottom:0.0pt;" stroked="false">
                <v:path textboxrect="0,0,0,0"/>
                <v:imagedata r:id="rId10" o:title=""/>
              </v:shape>
            </w:pict>
          </mc:Fallback>
        </mc:AlternateContent>
      </w:r>
      <w:r/>
    </w:p>
    <w:p>
      <w:pPr>
        <w:ind w:left="0" w:right="0" w:firstLine="476"/>
        <w:jc w:val="both"/>
        <w:spacing w:before="115"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表1 泵站设计参数表</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88"/>
        <w:gridCol w:w="1447"/>
        <w:gridCol w:w="1647"/>
        <w:gridCol w:w="1133"/>
        <w:gridCol w:w="1895"/>
        <w:gridCol w:w="1666"/>
      </w:tblGrid>
      <w:tr>
        <w:trPr>
          <w:trHeight w:val="1116"/>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泵站</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47"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泵站规模</w:t>
            </w:r>
            <w:r/>
          </w:p>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（t/d）</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33"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时变化 系数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95"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泵站设计流量</w:t>
            </w:r>
            <w:r/>
          </w:p>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（m3/h）</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66"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泵站选用参数</w:t>
            </w:r>
            <w:r/>
          </w:p>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（m3/h）</w:t>
            </w:r>
            <w:r/>
          </w:p>
        </w:tc>
      </w:tr>
      <w:tr>
        <w:trPr>
          <w:trHeight w:val="5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周旺 1#泵站</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47"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3"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5"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66"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5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周旺 2#泵站</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47"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3"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5"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66"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r>
      <w:tr>
        <w:trPr>
          <w:trHeight w:val="5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周旺 3#泵站</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47"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3"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5"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66"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r>
      <w:tr>
        <w:trPr>
          <w:trHeight w:val="5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周旺 4#泵站</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47"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3"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5"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14.65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66"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rHeight w:val="57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唐家村泵站</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47"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3"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5"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66"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63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88"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桥头村泵站</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47"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33"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95"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66"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r>
    </w:tbl>
    <w:p>
      <w:pPr>
        <w:pStyle w:val="648"/>
        <w:ind w:left="0" w:right="0" w:firstLine="454"/>
        <w:jc w:val="both"/>
        <w:spacing w:before="320" w:after="200" w:line="34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1、泵站筒体</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（1）泵站筒体规格：筒体内径 1.6m。</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（2）泵站筒体材质：采用树脂及玻璃纤维一体缠绕成玻璃钢筒体，具体参数如下：</w:t>
      </w:r>
      <w:r/>
    </w:p>
    <w:p>
      <w:pPr>
        <w:numPr>
          <w:ilvl w:val="0"/>
          <w:numId w:val="3"/>
        </w:numPr>
        <w:jc w:val="both"/>
        <w:spacing w:before="0" w:after="160" w:line="229"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l壁厚度≥15mm；</w:t>
      </w:r>
      <w:r/>
    </w:p>
    <w:p>
      <w:pPr>
        <w:numPr>
          <w:ilvl w:val="0"/>
          <w:numId w:val="3"/>
        </w:numPr>
        <w:jc w:val="both"/>
        <w:spacing w:before="0" w:after="160" w:line="229"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l筒底部厚度≥20mm；</w:t>
      </w:r>
      <w:r/>
    </w:p>
    <w:p>
      <w:pPr>
        <w:numPr>
          <w:ilvl w:val="0"/>
          <w:numId w:val="3"/>
        </w:numPr>
        <w:jc w:val="both"/>
        <w:spacing w:before="0" w:after="160" w:line="229"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l环向拉伸强度≥550MPA；</w:t>
      </w:r>
      <w:r/>
    </w:p>
    <w:p>
      <w:pPr>
        <w:numPr>
          <w:ilvl w:val="0"/>
          <w:numId w:val="3"/>
        </w:numPr>
        <w:jc w:val="both"/>
        <w:spacing w:before="0" w:after="160" w:line="229"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l轴向拉伸强度≥80MPA；</w:t>
      </w:r>
      <w:r/>
    </w:p>
    <w:p>
      <w:pPr>
        <w:numPr>
          <w:ilvl w:val="0"/>
          <w:numId w:val="3"/>
        </w:numPr>
        <w:jc w:val="both"/>
        <w:spacing w:before="0" w:after="160" w:line="229"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l巴氏硬度≥50；</w:t>
      </w:r>
      <w:r/>
    </w:p>
    <w:p>
      <w:pPr>
        <w:numPr>
          <w:ilvl w:val="0"/>
          <w:numId w:val="3"/>
        </w:numPr>
        <w:jc w:val="both"/>
        <w:spacing w:before="0" w:after="160" w:line="229"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l抗压强度≥150MPA；</w:t>
      </w:r>
      <w:r/>
    </w:p>
    <w:p>
      <w:pPr>
        <w:numPr>
          <w:ilvl w:val="0"/>
          <w:numId w:val="3"/>
        </w:numPr>
        <w:jc w:val="both"/>
        <w:spacing w:before="0" w:after="160" w:line="229"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l环向弯曲强度≥350MPA；</w:t>
      </w:r>
      <w:r/>
    </w:p>
    <w:p>
      <w:pPr>
        <w:numPr>
          <w:ilvl w:val="0"/>
          <w:numId w:val="3"/>
        </w:numPr>
        <w:jc w:val="both"/>
        <w:spacing w:before="0" w:after="160" w:line="229"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l轴向压缩强度≥80MPA；</w:t>
      </w:r>
      <w:r/>
    </w:p>
    <w:p>
      <w:pPr>
        <w:numPr>
          <w:ilvl w:val="0"/>
          <w:numId w:val="3"/>
        </w:numPr>
        <w:jc w:val="both"/>
        <w:spacing w:before="0" w:after="160" w:line="229"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l吸水率≤0.01%；</w:t>
      </w:r>
      <w:r/>
    </w:p>
    <w:p>
      <w:pPr>
        <w:numPr>
          <w:ilvl w:val="0"/>
          <w:numId w:val="3"/>
        </w:numPr>
        <w:jc w:val="both"/>
        <w:spacing w:before="0" w:after="160" w:line="229"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l玻纤含量≥60%</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（3）配套管路系统材质：SS304 不锈钢。</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（4）泵站安全装置设计：采用新风系统设计。</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（5）泵站筒体的强度须满足为了能承受周边的土壤和地下水的压力，同时需具备：a、水泵底座预埋件，必须采用8mm 厚的不锈钢板对夹，确保平稳运 行。b、检修平台支撑，采用双层保护，检修平台必须与筒体采用对夹板结构，同时筒体内部采用玻璃钢裙边支撑。c、格栅支撑 座与筒体采用不锈钢板对夹板形式联接。</w:t>
      </w:r>
      <w:r/>
    </w:p>
    <w:p>
      <w:pPr>
        <w:pStyle w:val="648"/>
        <w:ind w:left="0" w:right="0" w:firstLine="562"/>
        <w:jc w:val="both"/>
        <w:spacing w:before="320" w:after="200" w:line="34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2、主要设备</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（1）格栅：泵站采用提篮格栅。</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（2）内部管路：内部管路采用外抛光 304 无缝不锈钢管，试压等级为0.9MPa。 管路直径≥ De315，管路厚度≥4mm厚；管路直径≤De315，管路厚度≥3mm厚。内部管路焊接必须提供鱼鳞纹内外焊接。</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（3）潜污泵：水泵采用井筒式安装。</w:t>
      </w:r>
      <w:r/>
    </w:p>
    <w:p>
      <w:pPr>
        <w:pStyle w:val="648"/>
        <w:ind w:left="0" w:right="0" w:firstLine="562"/>
        <w:jc w:val="both"/>
        <w:spacing w:before="320" w:after="200" w:line="34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3、控制柜及远程监控系统</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（1）控制柜为 304 不锈钢户外型，2mm厚304 不锈钢材质，考虑户外运行建议控制柜壳体外喷塑，防雨防盗，采用软启动控制。根据住建局《CJJT285-2018一体化预制泵站工程技术标准》要求，控制柜主要元器件需采用工业级别，防潮、 防尘、防霉，元器件采用：工业级施耐德、ABB、西门子品牌，控制柜、水泵及筒体采用同一品牌；可通过人机界面进行操作，具有 CQC认证，防护等级为 IP55。</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远程监控系统，通过GPRS/GSM无线通讯实现泵站的自动报警及远程控制功能，业主及技术人员可随时随地登录网站进行泵站运行的监控。动力电源就近引入控制柜。泵站智能控制柜置于泵井顶部，外设置钢制防盗护拦。</w:t>
      </w:r>
      <w:r/>
    </w:p>
    <w:p>
      <w:pPr>
        <w:pStyle w:val="648"/>
        <w:ind w:left="0" w:right="0" w:firstLine="562"/>
        <w:jc w:val="both"/>
        <w:spacing w:before="320" w:after="200" w:line="34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4、泵站智能控制柜置于泵井顶部，外设置钢制防盗护雨，控制柜壳体外喷塑，以便夏天高温时能够安全运行。远程监控系统必须是厂家自有平台。</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（1）直径1.2m 以上泵站必须配备独立的格栅人孔，并且将格栅导杆持握器安装在靠近筒顶以方便提升作业。</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（2）液位控制</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泵坑内应采用 2 套液位控制系统，采用静压差液位计保证高低位报警信号输 出以及液位浮球开关保证备用控制；静压差液位计作为主控制，保证水泵轮换启 动液位信号输出。</w:t>
      </w:r>
      <w:r/>
    </w:p>
    <w:p>
      <w:pPr>
        <w:pStyle w:val="648"/>
        <w:ind w:left="0" w:right="0" w:firstLine="474"/>
        <w:jc w:val="both"/>
        <w:spacing w:before="320" w:after="200" w:line="34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5、泵站结构设计方案</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现有区域供参考地质资料，一体化预制泵站所在地区无断层、裂隙密集带、空洞、岩溶、塌陷、底下采空区等不良地质作用存在。持力层表面较平坦，稳定性好。场地内及周边无滑坡、滑移、崩塌、塌陷、泥石流等不良地质作用。</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一体化泵站采用筏板基础形式，地基基础设计等级：丙级；通过增加结构自重、覆土重进行抗浮设计；基坑开挖时采取基坑支护措施，考虑经济、技术可行、安全可靠，复杂基坑支护措施须专家论证后确定。</w:t>
      </w:r>
      <w:r/>
    </w:p>
    <w:p>
      <w:pPr>
        <w:pStyle w:val="648"/>
        <w:ind w:left="0" w:right="0" w:firstLine="478"/>
        <w:jc w:val="both"/>
        <w:spacing w:before="320" w:after="200" w:line="34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6、电气设计</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本工程泵站供电按三级负荷设计，工程就近引两路 380V 架空电源。</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接地接零系统形式：TN-S、接地地阻≤1Ω。</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站区所有正常情况下不带电的金属结构，如设备外壳、管道、护栏等均应可靠接地。</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低压系统配电开关采用塑壳断路器，设置短路瞬断、过载延时速断、欠电压保护，分断能力为50kA。低压系统照明回路开关采用微型断路器，分断能力为 10kA，对于插座回路设置漏电保护断路器，动作电流 30mA。</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过电压保护：</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对于低压供配电网络中引起的感应过电压、操作过电压、地电位反击过电压等，在低压配电系统的母线上装设 SPD，标称放电电流 Isn：≥80kA@（8/20），限制电压Up：≤1kV；在低压二级配电系统母线上装设小容量 SPD， 标称放电电流Isn：≥20kA@（8/20），限制电压Up：≤0.75kV。</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对主要生产设备的电动机，采用如下保护：</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一般电动机：设过载、堵转、相不平衡，及运行/起动热容量保护；潜水式 电动机：设过载、堵转、欠载、相不平衡、温度及渗漏保护；阀门电动机：设过 载、堵转、相不平衡及过力矩保护。</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（1）配电设备的选择</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配电设备应采取防潮防腐措施。室内配电设备应不低于 IP54 的外防护等级， 控制箱箱体应采用不锈钢外壳等防腐性能好的产品。高低压断路器选择国产优质 的可靠的产品。</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（2）导线选择及线路敷设方式</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动 力 选 用YJV-0.6/1kV 交 联 聚 乙 烯 绝 缘 电 力 电 缆 ， 控 制 选 用KVVP-0.45/0.75kV聚氯乙烯绝缘控制电缆，所有消防线路，应为铜芯导线或电 缆。室内电缆穿保护管或沿电缆桥架敷设， 室外电缆采用直埋、电缆沟、电缆桥 架敷设或穿钢管敷设。</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（3）控制与联锁</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本工程工艺设备采用PLC（详仪表专业）集中控制与就地控制的两地操作方 式。潜水泵等水位自动开停控制，由PLC 完成。由于多数电机单台容量较小， 故采用全压启动方式。</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（4）接地防雷及总电位联结</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本工程供电系统接地形式为TN-S 系统，利用建筑物的基础钢筋和池壁内钢筋及底板钢筋焊接形成共用接地体，要求接地电阻不大于1欧姆，若实测接地电阻不能满足要求，则补打接地极或采取其他降阻措施。</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采用热镀锌扁钢-40³4或BV导线做等电位接地线，沿墙、地面明敷或者暗敷设，泵站内所有正常不带电金属体都要与接地干线可靠相连，接地极及接地带均作热镀锌处理。</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泵站建筑物按三类防雷建筑物设防，建筑物屋顶设置接闪带，防雷、电气与 弱电接地共用接地极时，接地电阻 R≤1Ω。</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所有电气设备及用电设备的金属外壳等一律保护接地，接地系统为TN-S系 统。移动设备电源采用漏电保护器。</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（5）管线敷设</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低压配线采用YJV-0.6/1kV系列电缆；控制电缆采用KVV-0.45/0.75系列电缆。室内电缆敷设采用：电缆托盘、穿管等方式，室内穿管暗敷时垫层不小于 0.15m，至配电箱及设备处管口高出地坪 0.2m，之后至设备接线端采用金属软管连接。</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室外电缆敷设采用：架空、穿镀锌钢管或直埋等方式；室外电气管线埋深在 0.5m～0.7m 之间，穿越车行道时埋深不低于 0.7m，并加钢套管保护；电气管线 敷设时与相关其它工种管线间、建构筑间间距满足相关规范规定要求。</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（6）电气节能</w:t>
      </w:r>
      <w:r/>
    </w:p>
    <w:p>
      <w:pPr>
        <w:numPr>
          <w:ilvl w:val="0"/>
          <w:numId w:val="3"/>
        </w:numPr>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根据负荷容量，供电距离及分布，用电设备特点等因素合理设计供配电 系统，做到系统尽量简单可靠、操作方便，缩短配电半径减少线路损耗。</w:t>
      </w:r>
      <w:r/>
    </w:p>
    <w:p>
      <w:pPr>
        <w:numPr>
          <w:ilvl w:val="0"/>
          <w:numId w:val="3"/>
        </w:numPr>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选用节能型变压器，根据负荷情况合理选择变压器容量，使变压器工作 在高效低耗区内。</w:t>
      </w:r>
      <w:r/>
    </w:p>
    <w:p>
      <w:pPr>
        <w:numPr>
          <w:ilvl w:val="0"/>
          <w:numId w:val="3"/>
        </w:numPr>
        <w:jc w:val="both"/>
        <w:spacing w:before="285"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在满足照明质量前提下，合理布局灯具充分利用自然光，选用高</w:t>
      </w:r>
      <w:r>
        <w:rPr>
          <w:rFonts w:ascii="SimSun" w:hAnsi="SimSun" w:eastAsia="SimSun" w:cs="SimSun"/>
          <w:color w:val="000000"/>
          <w:spacing w:val="-1"/>
          <w:sz w:val="24"/>
        </w:rPr>
        <w:t xml:space="preserve">效发光</w:t>
      </w:r>
      <w:r>
        <w:rPr>
          <w:rFonts w:ascii="SimSun" w:hAnsi="SimSun" w:eastAsia="SimSun" w:cs="SimSun"/>
          <w:color w:val="000000"/>
          <w:sz w:val="24"/>
        </w:rPr>
        <w:t xml:space="preserve"> </w:t>
      </w:r>
      <w:r>
        <w:rPr>
          <w:rFonts w:ascii="SimSun" w:hAnsi="SimSun" w:eastAsia="SimSun" w:cs="SimSun"/>
          <w:color w:val="000000"/>
          <w:spacing w:val="-5"/>
          <w:sz w:val="24"/>
        </w:rPr>
        <w:t xml:space="preserve">的节能型灯具及节能型整流器。</w:t>
      </w:r>
      <w:r/>
    </w:p>
    <w:p>
      <w:pPr>
        <w:numPr>
          <w:ilvl w:val="0"/>
          <w:numId w:val="3"/>
        </w:numPr>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在低压侧集中采用静电电容进行无功自动补偿，补偿后高压侧功率因数 COS φ&gt;0.9。</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（7）电气安全设计</w:t>
      </w:r>
      <w:r/>
    </w:p>
    <w:p>
      <w:pPr>
        <w:numPr>
          <w:ilvl w:val="0"/>
          <w:numId w:val="3"/>
        </w:numPr>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本工程电气设计采取以下安全措施：</w:t>
      </w:r>
      <w:r/>
    </w:p>
    <w:p>
      <w:pPr>
        <w:numPr>
          <w:ilvl w:val="0"/>
          <w:numId w:val="3"/>
        </w:numPr>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应设专职人员进行维护，定期检修和清洁设备，严禁带电作业，在检修电气设备前必须切断电源，并在电源开关上挂“禁止合闸有人工作”的警告牌， 警告牌挂取应有专人负责。</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避雷装置在雷雨季节到来前进行一次预防性试验，并测量其接地电阻值，雷电过后应检查避雷器的瓷瓶、连接线和接地线是否完好。</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低压电气设备和器材的绝缘电阻不得低于 0.5MΩ,维护人员应定期用摇表检查，不附合要求应及时更换。</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室内开关柜防护等级为IP5X，室外控制箱和动力箱防护等级不应低于IP55。 建筑物门全部向外开启，以备发生电气事故时迅速、安全撤离现场。</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落地式配电柜底部宜抬高，室内宜高出地面 100mm 以上，室外应高出地面 200mm 以上，底座周围应采取封闭措施以防小动物窜入造成带电导体之间短路。</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（8）自控系统设计</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无人值守泵站自控系统遵循“集中管理、分散控制、资源共享”的原则，仪表系统遵循“工艺必需、先进实用、维护简便”的原则。</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设计范围包括以下主要内容：</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a.根据工艺流程及测控要求配置水位、流量、过程控制等检测控制仪表；</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b.根据工艺和设备运行要求采集工艺设备的运行数据，配置相应的自动控制、 自动调节、自动报警、安全保护装置；</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c.主要工艺设备运行状态和变配电系统主要电气参数的数据采集，传送；</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（1）泵站平时根据设定程序自动控制运行，无人值守，也可通过现场手动、</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远程监控中心、手机 APP 控制等和监控泵站设备运行状况。上级控制单元可调  用各现场站的全部运行信息，通过一定权限设定控制现场主要设备的启动和停止。</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（2）根据水位差信号（或定时）自动控制格栅的开停；</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（3）根据水位信号自动控制水泵的开停及轮换运行。</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a.控制、信号电缆选型</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控制电缆选用铜芯聚氯乙烯绝缘聚氯乙烯护套软电缆，信号电缆选用铜芯聚 氯乙烯绝缘编织屏蔽聚氯乙烯护套软电缆。</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b.仪表、自控电缆在穿钢管敷设。</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现场仪表是采集工艺参数的主要工具，应选用性能价格比较高的智能型仪表。 仪表均采用高精度、高稳定性、免维护或低维护量的数字、智能型自动化仪表。</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c.系统防雷措施</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系统防雷通过在设备电源和仪表信号处设置避雷器并通过接地系统的等电 位连接，以达到最佳的防雷效果。</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电源部分：在中央控制室设备和各PLC 柜现场控制器箱的电源进线处均设 置避雷器或过电压保护器。</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信号部分：在 PLC 的通信网络端口及 4~20mA 模拟量信号的线和出线端口 设信号过电压保护装置。</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预留应基于物联网技术的电气安全系统预警系统接入的端口。</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7、除臭设备</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本设备采用离子除臭设备，风量</w:t>
      </w:r>
      <w:r>
        <w:rPr>
          <w:rFonts w:ascii="Calibri" w:hAnsi="Calibri" w:eastAsia="Calibri" w:cs="Calibri"/>
          <w:color w:val="000000"/>
          <w:sz w:val="24"/>
        </w:rPr>
        <w:t xml:space="preserve">750-1000m</w:t>
      </w:r>
      <w:r>
        <w:rPr>
          <w:rFonts w:ascii="Calibri" w:hAnsi="Calibri" w:eastAsia="Calibri" w:cs="Calibri"/>
          <w:color w:val="000000"/>
          <w:sz w:val="20"/>
          <w:vertAlign w:val="superscript"/>
        </w:rPr>
        <w:t xml:space="preserve">3</w:t>
      </w:r>
      <w:r>
        <w:rPr>
          <w:rFonts w:ascii="Calibri" w:hAnsi="Calibri" w:eastAsia="Calibri" w:cs="Calibri"/>
          <w:color w:val="000000"/>
          <w:sz w:val="24"/>
        </w:rPr>
        <w:t xml:space="preserve">/h</w:t>
      </w:r>
      <w:r>
        <w:rPr>
          <w:rFonts w:ascii="SimSun" w:hAnsi="SimSun" w:eastAsia="SimSun" w:cs="SimSun"/>
          <w:color w:val="000000"/>
          <w:sz w:val="24"/>
        </w:rPr>
        <w:t xml:space="preserve">，不锈钢外壳。供货方需提供成套产品，包含主要设备、辅件及配套控制系统等。</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四、安装要求</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泵站的安装由供应商和土建施工单位协作完成。</w:t>
      </w:r>
      <w:r/>
    </w:p>
    <w:p>
      <w:pPr>
        <w:numPr>
          <w:ilvl w:val="0"/>
          <w:numId w:val="3"/>
        </w:numPr>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土建施工单位负责</w:t>
      </w:r>
      <w:r>
        <w:rPr>
          <w:rFonts w:ascii="MS Gothic" w:hAnsi="MS Gothic" w:eastAsia="MS Gothic" w:cs="MS Gothic"/>
          <w:color w:val="000000"/>
          <w:sz w:val="24"/>
        </w:rPr>
        <w:t xml:space="preserve">‌</w:t>
      </w:r>
      <w:r>
        <w:rPr>
          <w:rFonts w:ascii="SimSun" w:hAnsi="SimSun" w:eastAsia="SimSun" w:cs="SimSun"/>
          <w:color w:val="000000"/>
          <w:sz w:val="24"/>
        </w:rPr>
        <w:t xml:space="preserve">基坑支护、开挖、钢筋砼筏板基础浇筑及回填。</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2、泵站供应商负责设备吊装、安装、接电及调试。</w:t>
      </w:r>
      <w:r/>
    </w:p>
    <w:p>
      <w:pPr>
        <w:pStyle w:val="646"/>
        <w:ind w:left="0" w:right="0" w:firstLine="0"/>
        <w:jc w:val="both"/>
        <w:spacing w:before="120" w:after="120" w:line="391"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4"/>
        </w:rPr>
        <w:t xml:space="preserve">★</w:t>
      </w:r>
      <w:r>
        <w:rPr>
          <w:rFonts w:ascii="SimSun" w:hAnsi="SimSun" w:eastAsia="SimSun" w:cs="SimSun"/>
          <w:b/>
          <w:color w:val="000000"/>
          <w:sz w:val="24"/>
        </w:rPr>
        <w:t xml:space="preserve">五、验收要求</w:t>
      </w:r>
      <w:r/>
    </w:p>
    <w:p>
      <w:pPr>
        <w:pStyle w:val="648"/>
        <w:ind w:left="0" w:right="0" w:firstLine="562"/>
        <w:jc w:val="both"/>
        <w:spacing w:before="320" w:after="200" w:line="34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1、总体要求</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（1）本工程采用的各种材料与设备，其品种。规格、质量、性能应符合设计文件要求和国家现行有关标准规定。</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（2）本工程所用各种材料与设备，必须符合国家有关环保、卫生、防火、防水、防冻、防爆炸、防腐蚀等标准的规定。</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（3）材料和设备进场时，应具备订购合同、产品质量合格证书、说明书、性能检测报告、进口产品的商检报告及证件等，不具备以上条件不得验收。</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（4）进场的材料和设备应按规定进行复验。复验的材料和设备，其各项指标应符合设计文件要求及本规范的规定。</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（5）国家规定或合同文件约定需要对材料进行见证检测的，应进行见证检测。</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（6）承担材料和设备检测的单位，应具备相应的资质。</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（7）进口设备与配件和材料，应按合同文件严格检验，不符合要求的不得使用。</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（8）所用材料、半成品、构件、配件、设备等，人运输、保管和施工过程中、必须采取有效措施防止损坏、锈蚀或变质。</w:t>
      </w:r>
      <w:r/>
    </w:p>
    <w:p>
      <w:pPr>
        <w:pStyle w:val="648"/>
        <w:ind w:left="0" w:right="0" w:firstLine="562"/>
        <w:jc w:val="both"/>
        <w:spacing w:before="320" w:after="200" w:line="34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2、验收证明文件</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中标单位在设备移交前需提供以下证明文件：</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提供一体化预制泵站需提供经省级（含）以上专业检测机构出具的报告，并加盖制造企业公章。</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提供一体化预制泵站筒体强度（轴向拉伸强度、环向拉伸强度、抗压强度、环向弯曲强度、巴氏硬度）需提供经省级（含）以上专业检测机构出具的报告，并加盖制造企业公章。</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提供一体化预制泵站筒体具有吸水率、玻纤含量检验报告需提供经省级（含）以上专业检测机构出具的报告，并加盖制造企业公章。</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提供一体化预制泵站绝缘电阻（绝缘电阻≥5MΩ）、耐电压（需承受50Hz 1500V交流电耐电压试验，历时1分钟且无击穿和闪络现象）检验，需提供省级（含）及以上专业检测机构出具的检验报告，并加盖制造企业公章。</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提供一体化预制泵站筒体具有盛水试验需提供经省级（含）以上专业检测机构出具的报告，并加盖制造企业公章。</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提供一体化预制泵站具有2小时温升且轴承温升≤35℃检验，需提供省级（含）及以上专业检测机构出具的检验报告，并加盖制造企业公章。</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提供一体化预制泵站筒体FEA强度及抗浮分析报告、需提供经省级（含）以上专业检测机构出具的报告，并加盖制造企业公章</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提供一体化预制泵站内部CFD流体动力学分析报告、需提供经省级（含）以上专业检测机构出具的报告，并加盖制造企业公章</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提供一体化预制泵站配套水泵需提供经省级（含）以上专业检测机构出具的报告，并加盖制造企业公章（且一体化泵站和水泵需为同一品牌）。</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为避免一体化泵站运行时对周边的噪声影响，供应商须提供在泵站的噪声的检测报告（提供省级（含）以上专业检测机构出具的报告，并加盖制造企业公章）。</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一体化泵站厂级需自有远程监控平台、并同时具备电脑网址登录、手机APP登录</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体化体化泵站制造企业具有有效期内的ISO体系认证证书，即ISO14001环境管理体系认证证书、ISO9001质量体系认证证书、ISO45001职业健康安全管理体系认证证书、ISO27001信息安全管理体系认证证书（需提供有效证书及国家认证认可监督管理委员会信息平台（http://cx.cnca.cn）查询状态为“有效”截图并加盖投标人公章）。</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3、运维及质保相关要求：</w:t>
      </w:r>
      <w:r/>
    </w:p>
    <w:p>
      <w:pPr>
        <w:numPr>
          <w:ilvl w:val="0"/>
          <w:numId w:val="3"/>
        </w:numPr>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供应商须承诺在设备出现故障后2小时内响应，24小时内派遣专业技术人员到达现场处理，并提供7×24小时服务热线。投标时需提交售后服务承诺函并加盖公章。</w:t>
      </w:r>
      <w:r/>
    </w:p>
    <w:p>
      <w:pPr>
        <w:numPr>
          <w:ilvl w:val="0"/>
          <w:numId w:val="3"/>
        </w:numPr>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不低于2年，质保期内免费更换非人为损坏的零部件，提供日常巡检服务，巡检人员要求至少需配备2名专业人员，且一名售后人员需持电工证。投标时需提供相关证明文件。巡检内容包括水泵运行状态、控制系统功能及清洁维护等。</w:t>
      </w:r>
      <w:r/>
    </w:p>
    <w:p>
      <w:pPr>
        <w:numPr>
          <w:ilvl w:val="0"/>
          <w:numId w:val="3"/>
        </w:numPr>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巡检人员工作职责及工作内容</w:t>
      </w:r>
      <w:r/>
    </w:p>
    <w:p>
      <w:pPr>
        <w:numPr>
          <w:ilvl w:val="0"/>
          <w:numId w:val="4"/>
        </w:numPr>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当日填写各类检查记录表；</w:t>
      </w:r>
      <w:r/>
    </w:p>
    <w:p>
      <w:pPr>
        <w:numPr>
          <w:ilvl w:val="0"/>
          <w:numId w:val="4"/>
        </w:numPr>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检查提升泵，电控箱控制柜，仪器仪表运行工况是否异常；</w:t>
      </w:r>
      <w:r/>
    </w:p>
    <w:p>
      <w:pPr>
        <w:numPr>
          <w:ilvl w:val="0"/>
          <w:numId w:val="4"/>
        </w:numPr>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清洗格栅，确保设备干净整洁。清洗频次：1周至少2次；</w:t>
      </w:r>
      <w:r/>
    </w:p>
    <w:p>
      <w:pPr>
        <w:numPr>
          <w:ilvl w:val="0"/>
          <w:numId w:val="4"/>
        </w:numPr>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清理控制柜灰尘。清理频次：1周清理1次；</w:t>
      </w:r>
      <w:r/>
    </w:p>
    <w:p>
      <w:pPr>
        <w:numPr>
          <w:ilvl w:val="0"/>
          <w:numId w:val="4"/>
        </w:numPr>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协助处理用户投诉；</w:t>
      </w:r>
      <w:r/>
    </w:p>
    <w:p>
      <w:pPr>
        <w:numPr>
          <w:ilvl w:val="0"/>
          <w:numId w:val="4"/>
        </w:numPr>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协助完成其他突发事件的处理。</w:t>
      </w:r>
      <w:r/>
    </w:p>
    <w:p>
      <w:pPr>
        <w:numPr>
          <w:ilvl w:val="0"/>
          <w:numId w:val="3"/>
        </w:numPr>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售后维修工作内容：</w:t>
      </w:r>
      <w:r/>
    </w:p>
    <w:p>
      <w:pPr>
        <w:numPr>
          <w:ilvl w:val="0"/>
          <w:numId w:val="4"/>
        </w:numPr>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设备故障，及时上报甲方；</w:t>
      </w:r>
      <w:r/>
    </w:p>
    <w:p>
      <w:pPr>
        <w:numPr>
          <w:ilvl w:val="0"/>
          <w:numId w:val="4"/>
        </w:numPr>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提交维修方案，经甲方批准后实施；</w:t>
      </w:r>
      <w:r/>
    </w:p>
    <w:p>
      <w:pPr>
        <w:numPr>
          <w:ilvl w:val="0"/>
          <w:numId w:val="4"/>
        </w:numPr>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如遇检查发现问题，乙方需半小时到场，需快速解决设备运行等问题；</w:t>
      </w:r>
      <w:r/>
    </w:p>
    <w:p>
      <w:pPr>
        <w:numPr>
          <w:ilvl w:val="0"/>
          <w:numId w:val="4"/>
        </w:numPr>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维修期间，妥善处理临时排水；</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下井作业，提前做好应急预案，通风设备，三脚架，气体检测仪，安全绳，安全员必须到场。</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 、付款方式：</w:t>
      </w:r>
      <w:r/>
    </w:p>
    <w:p>
      <w:pPr>
        <w:ind w:left="0" w:right="0" w:firstLine="42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交付使用后付至合同价的30%，交付满一年后付至合同价的60%，交付满两年后付至合同价的80%，交付满三年后结清尾款。</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七、质保期：二年</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Times New Roman" w:hAnsi="Times New Roman" w:eastAsia="Times New Roman" w:cs="Times New Roman"/>
          <w:sz w:val="20"/>
        </w:rPr>
      </w:r>
      <w:r/>
    </w:p>
    <w:p>
      <w:pPr>
        <w:ind w:left="0" w:right="0" w:firstLine="2425"/>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 评标方法与评标标准</w:t>
      </w:r>
      <w:r/>
    </w:p>
    <w:p>
      <w:pPr>
        <w:ind w:left="0" w:right="0" w:firstLine="482"/>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一、评标方法</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用综合评分法，评标结果按评审后得分由高到低顺序排列。得分相同的，按投标报价由低到高顺序排列。得分且投标报价相同的，按“三、评标标准中2.1-2.5项”得分由高到低顺序排列。在投标文件满足招标文件全部实质性要求的供应商中，按照评审得分由高到低推荐中标候选人。</w:t>
      </w:r>
      <w:r/>
    </w:p>
    <w:p>
      <w:pPr>
        <w:ind w:left="0" w:right="0" w:firstLine="482"/>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二、评标标准</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6"/>
        <w:gridCol w:w="1268"/>
        <w:gridCol w:w="5643"/>
        <w:gridCol w:w="607"/>
        <w:gridCol w:w="1049"/>
      </w:tblGrid>
      <w:tr>
        <w:trPr>
          <w:trHeight w:val="13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编号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8" w:type="dxa"/>
            <w:vAlign w:val="center"/>
            <w:textDirection w:val="lrTb"/>
            <w:noWrap/>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评审细则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49" w:type="dxa"/>
            <w:vAlign w:val="center"/>
            <w:textDirection w:val="lrTb"/>
            <w:noWrap/>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分值类型</w:t>
            </w:r>
            <w:r/>
          </w:p>
        </w:tc>
      </w:tr>
      <w:tr>
        <w:trPr>
          <w:trHeight w:val="41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tc>
      </w:tr>
      <w:tr>
        <w:trPr>
          <w:trHeight w:val="10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8"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val="false"/>
          </w:tcPr>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采用低价优先法计算，即满足招标文件要求且投标价格最低的投标报价为评标基准价，其价格分为满分。其他投标人的价格分统一按照下列公式计算:投标报价得分=(评标基准价/投标报价)×30（得分保留2位小数）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自动计算</w:t>
            </w:r>
            <w:r/>
          </w:p>
        </w:tc>
      </w:tr>
      <w:tr>
        <w:trPr>
          <w:trHeight w:val="39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w:t>
            </w:r>
            <w:r/>
          </w:p>
        </w:tc>
      </w:tr>
      <w:tr>
        <w:trPr>
          <w:trHeight w:val="10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8"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val="false"/>
          </w:tcPr>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根据投标人提供的项目总体实施方案进行评分。</w:t>
            </w:r>
            <w:r/>
          </w:p>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根据设备供货、安装进度计划方案；现场安全保证措施方案；设备调试和验收方案，合理并符合本项目需求得10分，较合理并较符合本项目需求得7分，一般得4分，无不得分；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10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8"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设备工艺说明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val="false"/>
          </w:tcPr>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对投标人所投设备的制造工艺、技术的合理性、先进性、成熟性等进行评分。</w:t>
            </w:r>
            <w:r/>
          </w:p>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产品生产工艺、技术水平先进成熟，性能稳定可靠，标准完善详细得8分；</w:t>
            </w:r>
            <w:r/>
          </w:p>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产品生产工艺、技术水平一般，性能一般，标准一般得5分；</w:t>
            </w:r>
            <w:r/>
          </w:p>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产品生产工艺、技术水平不成熟，性能不可靠，标准不完善得2分；无不得分。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10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8"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val="false"/>
          </w:tcPr>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根据各投标人提供的售后服务方案（含技术人员培训计划、培训方式、培训内容）进行评分。</w:t>
            </w:r>
            <w:r/>
          </w:p>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售后服务方案内容措施全面、具有可实施性得8分；</w:t>
            </w:r>
            <w:r/>
          </w:p>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售后服务方案内容措施较全面、较具有可实施性得5分；</w:t>
            </w:r>
            <w:r/>
          </w:p>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售后服务方案内容措施不全面、不具有可实施性得2分；无不得分。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10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8" w:type="dxa"/>
            <w:vAlign w:val="center"/>
            <w:textDirection w:val="lrTb"/>
            <w:noWrap w:val="false"/>
          </w:tcPr>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货物运输及包装</w:t>
            </w:r>
            <w:r/>
          </w:p>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top"/>
            <w:textDirection w:val="lrTb"/>
            <w:noWrap w:val="false"/>
          </w:tcPr>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根据投标人提供的货物包装、运输方案及成品保护措施进行评分。</w:t>
            </w:r>
            <w:r/>
          </w:p>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货物包装、运输方案完善，成品保护措施标准得8分；</w:t>
            </w:r>
            <w:r/>
          </w:p>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货物包装、运输方案基本完善，成品保护措施基本标准得5分；</w:t>
            </w:r>
            <w:r/>
          </w:p>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货物包装、运输方案不完善，成品保护措施不标准得2分；无不得分。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10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8"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val="false"/>
          </w:tcPr>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根据投标人提供的培训方案及培训计划的详细程度进行打分。方案完善且可以很好满足采购人需求的得6分，培训方案及培训计划良好或一般得3分，方法不能满足得1分，没有不得分。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378"/>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商务部分</w:t>
            </w:r>
            <w:r/>
          </w:p>
        </w:tc>
      </w:tr>
      <w:tr>
        <w:trPr>
          <w:trHeight w:val="3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8" w:type="dxa"/>
            <w:vAlign w:val="center"/>
            <w:textDirection w:val="lrTb"/>
            <w:noWrap w:val="false"/>
          </w:tcPr>
          <w:p>
            <w:pPr>
              <w:ind w:left="0" w:right="0" w:firstLine="0"/>
              <w:jc w:val="center"/>
              <w:spacing w:before="68" w:after="16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类似业绩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val="false"/>
          </w:tcPr>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投标人提供具有类似销售业绩，每提供一份得2分，最多得8分。（提供合同复印件并加盖公章）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68" w:after="16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68" w:after="16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客观分</w:t>
            </w:r>
            <w:r/>
          </w:p>
        </w:tc>
      </w:tr>
      <w:tr>
        <w:trPr>
          <w:trHeight w:val="3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8" w:type="dxa"/>
            <w:vAlign w:val="center"/>
            <w:textDirection w:val="lrTb"/>
            <w:noWrap w:val="false"/>
          </w:tcPr>
          <w:p>
            <w:pPr>
              <w:ind w:left="0" w:right="0" w:firstLine="0"/>
              <w:jc w:val="center"/>
              <w:spacing w:before="68" w:after="16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val="false"/>
          </w:tcPr>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设备技术要求标准全部满足第四章项目需求中“★三、技术要求及★五、验收要求”的得满分12分，不符合或低于招标文件要求的每一项扣2分，扣完为止（投标人在《技术要求响应及偏离表》中逐条响应）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68" w:after="16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68" w:after="16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客观分</w:t>
            </w:r>
            <w:r/>
          </w:p>
        </w:tc>
      </w:tr>
      <w:tr>
        <w:trPr>
          <w:trHeight w:val="4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8"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人员配置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43" w:type="dxa"/>
            <w:vAlign w:val="center"/>
            <w:textDirection w:val="lrTb"/>
            <w:noWrap w:val="false"/>
          </w:tcPr>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投标人提供的为本项目提供服务支持的人员具有安全员1人、有限空间作业者1人、电工3人，有1人得2分，满分10分。</w:t>
            </w:r>
            <w:r/>
          </w:p>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提供上述人员证书复印件并加盖电子公章，同时提供近半年内任意一个月投标人为其缴纳社保的记录，复印件并加盖电子公章。以上人员不可重复记分。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7"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bl>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第六章 投标文件格式</w:t>
      </w:r>
      <w:r/>
    </w:p>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  标  文 件</w:t>
      </w:r>
      <w:r/>
    </w:p>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投标人名称 ：</w:t>
      </w:r>
      <w:r>
        <w:rPr>
          <w:rFonts w:ascii="SimSun" w:hAnsi="SimSun" w:eastAsia="SimSun" w:cs="SimSun"/>
          <w:b/>
          <w:color w:val="000000"/>
          <w:sz w:val="36"/>
          <w:u w:val="single"/>
        </w:rPr>
        <w:t xml:space="preserve">（加盖电子公章）   </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      期 ：</w:t>
      </w:r>
      <w:r>
        <w:rPr>
          <w:rFonts w:ascii="SimSun" w:hAnsi="SimSun" w:eastAsia="SimSun" w:cs="SimSun"/>
          <w:b/>
          <w:color w:val="000000"/>
          <w:sz w:val="36"/>
          <w:u w:val="single"/>
        </w:rPr>
        <w:t xml:space="preserve">             </w:t>
      </w:r>
      <w:r/>
    </w:p>
    <w:p>
      <w:pPr>
        <w:ind w:left="0" w:right="0" w:firstLine="0"/>
        <w:jc w:val="center"/>
        <w:spacing w:before="0" w:after="16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16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投标文件目录</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一、供应商信用承诺函</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二、满足特定资格要求的证明文件（如有特定资格要求）</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三、法人授权书</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四、投标函</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五、开标一览表</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六、投标分项报价表</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七、技术要求响应及偏离表</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八、商务要求响应及偏离表</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九、中小企业声明函（如有）</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十、残疾人福利性单位声明函（如有）</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一、供应商信用承诺函</w:t>
      </w:r>
      <w:r/>
    </w:p>
    <w:p>
      <w:pPr>
        <w:ind w:left="0" w:right="0" w:firstLine="602"/>
        <w:jc w:val="center"/>
        <w:spacing w:before="0" w:after="160" w:line="22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南京市政府采购供应商信用记录表暨信用承诺书</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（仅为示范格式，直接填写无效，需至“南京政府采购供应商诚信档案管理系统”在线打印）</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85"/>
        <w:gridCol w:w="2218"/>
        <w:gridCol w:w="2218"/>
        <w:gridCol w:w="2559"/>
      </w:tblGrid>
      <w:tr>
        <w:trPr>
          <w:trHeight w:val="49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85"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218"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218"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统一社会信用代码</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559"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85"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18"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18"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联系人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59"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85"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联系地址</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18"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218"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联系电话</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59"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34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85"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诚信档案记录情况</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95"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1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85"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信用承诺</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995" w:type="dxa"/>
            <w:vAlign w:val="center"/>
            <w:textDirection w:val="lrTb"/>
            <w:noWrap w:val="false"/>
          </w:tcPr>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自愿参加贵中心（公司）组织的本次采购活动，严格遵守《中华人民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w:t>
            </w:r>
            <w:r>
              <w:rPr>
                <w:rFonts w:ascii="SimSun" w:hAnsi="SimSun" w:eastAsia="SimSun" w:cs="SimSun"/>
                <w:color w:val="000000"/>
                <w:sz w:val="24"/>
              </w:rPr>
              <w:t xml:space="preserve">他违法违规行为，愿承担一切法律责任，接受各级政府采购监管部门和有权机关的审查和处罚。</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供应商名称（盖章）：</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二〇  年  月   日</w:t>
            </w:r>
            <w:r/>
          </w:p>
        </w:tc>
      </w:tr>
    </w:tbl>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16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16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240" w:after="240" w:line="22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二、满足特定资格要求的证明文件</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本项目申请人的特定资格要求中要求提供的材料。</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三、法人授权书</w:t>
      </w:r>
      <w:r/>
    </w:p>
    <w:p>
      <w:pPr>
        <w:ind w:left="0" w:right="0" w:firstLine="0"/>
        <w:jc w:val="center"/>
        <w:spacing w:before="0" w:after="160" w:line="41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法人授权书</w:t>
      </w:r>
      <w:r/>
    </w:p>
    <w:p>
      <w:pPr>
        <w:ind w:left="0" w:right="0" w:firstLine="480"/>
        <w:jc w:val="both"/>
        <w:spacing w:before="0" w:after="160" w:line="41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16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jc w:val="both"/>
        <w:spacing w:before="0" w:after="16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本授权书自年月日起签字生效，特此声明。</w:t>
      </w:r>
      <w:r/>
    </w:p>
    <w:p>
      <w:pPr>
        <w:ind w:left="0" w:right="0" w:firstLine="480"/>
        <w:jc w:val="both"/>
        <w:spacing w:before="0" w:after="16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p>
      <w:pPr>
        <w:ind w:left="0" w:right="0" w:firstLine="480"/>
        <w:jc w:val="both"/>
        <w:spacing w:before="0" w:after="16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w:t>
      </w:r>
      <w:r/>
    </w:p>
    <w:p>
      <w:pPr>
        <w:ind w:left="0" w:right="0" w:firstLine="480"/>
        <w:jc w:val="both"/>
        <w:spacing w:before="0" w:after="16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jc w:val="both"/>
        <w:spacing w:before="0" w:after="16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68"/>
        <w:jc w:val="both"/>
        <w:spacing w:before="0" w:after="16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jc w:val="both"/>
        <w:spacing w:before="0" w:after="16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jc w:val="both"/>
        <w:spacing w:before="0" w:after="16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期：</w:t>
      </w:r>
      <w:r/>
    </w:p>
    <w:p>
      <w:pPr>
        <w:ind w:left="0" w:right="0" w:firstLine="0"/>
        <w:spacing w:before="240" w:after="240" w:line="229" w:lineRule="atLeast"/>
        <w:pBdr>
          <w:top w:val="none" w:color="000000" w:sz="4" w:space="0"/>
          <w:left w:val="none" w:color="000000" w:sz="4" w:space="0"/>
          <w:bottom w:val="none" w:color="000000" w:sz="4" w:space="0"/>
          <w:right w:val="none" w:color="000000" w:sz="4" w:space="0"/>
        </w:pBdr>
      </w:pPr>
      <w:r>
        <w:rPr>
          <w:rFonts w:ascii="Arial" w:hAnsi="Arial" w:eastAsia="Arial" w:cs="Arial"/>
          <w:i/>
          <w:color w:val="000000"/>
          <w:sz w:val="24"/>
          <w:u w:val="single"/>
        </w:rPr>
        <w:t xml:space="preserve"> </w:t>
      </w:r>
      <w:r/>
    </w:p>
    <w:p>
      <w:pPr>
        <w:ind w:left="0" w:right="0" w:firstLine="0"/>
        <w:spacing w:before="240" w:after="240" w:line="22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160" w:line="46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 </w:t>
      </w:r>
      <w:r/>
    </w:p>
    <w:p>
      <w:pPr>
        <w:ind w:left="0" w:right="0" w:firstLine="0"/>
        <w:jc w:val="both"/>
        <w:spacing w:before="0" w:after="1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22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spacing w:before="240" w:after="240" w:line="22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四、投标函</w:t>
      </w:r>
      <w:r/>
    </w:p>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投标函</w:t>
      </w:r>
      <w:r/>
    </w:p>
    <w:p>
      <w:pPr>
        <w:ind w:left="0" w:right="0" w:firstLine="480"/>
        <w:spacing w:before="0" w:after="16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 南京瑾承项目管理有限公司</w:t>
      </w:r>
      <w:r/>
    </w:p>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一、投标申请及声明</w:t>
      </w:r>
      <w:r/>
    </w:p>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         </w:t>
      </w:r>
      <w:r/>
    </w:p>
    <w:p>
      <w:pPr>
        <w:ind w:left="0" w:right="0" w:firstLine="420"/>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w:t>
      </w:r>
      <w:r>
        <w:rPr>
          <w:rFonts w:ascii="SimSun" w:hAnsi="SimSun" w:eastAsia="SimSun" w:cs="SimSun"/>
          <w:color w:val="000000"/>
          <w:sz w:val="24"/>
          <w:u w:val="single"/>
        </w:rPr>
        <w:t xml:space="preserve">                            </w:t>
      </w:r>
      <w:r>
        <w:rPr>
          <w:rFonts w:ascii="SimSun" w:hAnsi="SimSun" w:eastAsia="SimSun" w:cs="SimSun"/>
          <w:color w:val="000000"/>
          <w:sz w:val="24"/>
        </w:rPr>
        <w:t xml:space="preserve">（项目名称） </w:t>
      </w:r>
      <w:r>
        <w:rPr>
          <w:rFonts w:ascii="SimSun" w:hAnsi="SimSun" w:eastAsia="SimSun" w:cs="SimSun"/>
          <w:b/>
          <w:color w:val="000000"/>
          <w:sz w:val="24"/>
          <w:u w:val="single"/>
        </w:rPr>
        <w:t xml:space="preserve">          </w:t>
      </w:r>
      <w:r>
        <w:rPr>
          <w:rFonts w:ascii="SimSun" w:hAnsi="SimSun" w:eastAsia="SimSun" w:cs="SimSun"/>
          <w:color w:val="000000"/>
          <w:sz w:val="24"/>
        </w:rPr>
        <w:t xml:space="preserve">（项目编号）招标文件，正式授权下述签字人</w:t>
      </w:r>
      <w:r>
        <w:rPr>
          <w:rFonts w:ascii="SimSun" w:hAnsi="SimSun" w:eastAsia="SimSun" w:cs="SimSun"/>
          <w:color w:val="000000"/>
          <w:sz w:val="24"/>
          <w:u w:val="single"/>
        </w:rPr>
        <w:t xml:space="preserve">                   </w:t>
      </w:r>
      <w:r>
        <w:rPr>
          <w:rFonts w:ascii="SimSun" w:hAnsi="SimSun" w:eastAsia="SimSun" w:cs="SimSun"/>
          <w:color w:val="000000"/>
          <w:sz w:val="24"/>
        </w:rPr>
        <w:t xml:space="preserve">(姓名和职务)代表</w:t>
      </w:r>
      <w:r>
        <w:rPr>
          <w:rFonts w:ascii="SimSun" w:hAnsi="SimSun" w:eastAsia="SimSun" w:cs="SimSun"/>
          <w:color w:val="000000"/>
          <w:sz w:val="24"/>
          <w:u w:val="single"/>
        </w:rPr>
        <w:t xml:space="preserve">                        </w:t>
      </w:r>
      <w:r>
        <w:rPr>
          <w:rFonts w:ascii="SimSun" w:hAnsi="SimSun" w:eastAsia="SimSun" w:cs="SimSun"/>
          <w:color w:val="000000"/>
          <w:sz w:val="24"/>
        </w:rPr>
        <w:t xml:space="preserve">（供应商名称），提交投标文件并参加投标。</w:t>
      </w:r>
      <w:r/>
    </w:p>
    <w:p>
      <w:pPr>
        <w:ind w:left="0" w:right="0" w:firstLine="420"/>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据此函，签字人兹宣布同意如下：</w:t>
      </w:r>
      <w:r/>
    </w:p>
    <w:p>
      <w:pPr>
        <w:ind w:left="0" w:right="0" w:firstLine="420"/>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b/>
          <w:color w:val="000000"/>
          <w:sz w:val="24"/>
        </w:rPr>
        <w:t xml:space="preserve">我们的资格条件完全符合政府采购法和本次采购要求</w:t>
      </w:r>
      <w:r>
        <w:rPr>
          <w:rFonts w:ascii="SimSun" w:hAnsi="SimSun" w:eastAsia="SimSun" w:cs="SimSun"/>
          <w:color w:val="000000"/>
          <w:sz w:val="24"/>
        </w:rPr>
        <w:t xml:space="preserve">，我们同意并向贵方提供了与本次采购活动有关的所有证据和资料。</w:t>
      </w:r>
      <w:r/>
    </w:p>
    <w:p>
      <w:pPr>
        <w:ind w:left="0" w:right="0" w:firstLine="420"/>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2、我们的总报价为（小写）¥ </w:t>
      </w:r>
      <w:r>
        <w:rPr>
          <w:rFonts w:ascii="SimSun" w:hAnsi="SimSun" w:eastAsia="SimSun" w:cs="SimSun"/>
          <w:b/>
          <w:color w:val="000000"/>
          <w:sz w:val="24"/>
          <w:u w:val="single"/>
        </w:rPr>
        <w:t xml:space="preserve">        </w:t>
      </w:r>
      <w:r>
        <w:rPr>
          <w:rFonts w:ascii="SimSun" w:hAnsi="SimSun" w:eastAsia="SimSun" w:cs="SimSun"/>
          <w:color w:val="000000"/>
          <w:sz w:val="24"/>
        </w:rPr>
        <w:t xml:space="preserve">，（大写）</w:t>
      </w:r>
      <w:r>
        <w:rPr>
          <w:rFonts w:ascii="SimSun" w:hAnsi="SimSun" w:eastAsia="SimSun" w:cs="SimSun"/>
          <w:b/>
          <w:color w:val="000000"/>
          <w:sz w:val="24"/>
          <w:u w:val="single"/>
        </w:rPr>
        <w:t xml:space="preserve">           </w:t>
      </w:r>
      <w:r>
        <w:rPr>
          <w:rFonts w:ascii="SimSun" w:hAnsi="SimSun" w:eastAsia="SimSun" w:cs="SimSun"/>
          <w:color w:val="000000"/>
          <w:sz w:val="24"/>
        </w:rPr>
        <w:t xml:space="preserve">人民币。合同履行期天。</w:t>
      </w:r>
      <w:r/>
    </w:p>
    <w:p>
      <w:pPr>
        <w:ind w:left="0" w:right="0" w:firstLine="420"/>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放弃对招标文件任何误解的权利，提交投标文件后，不对招标文件本身提出质疑。否则，属于不诚信和故意扰乱政府采购活动行为，我们将无条件接受处罚。</w:t>
      </w:r>
      <w:r/>
    </w:p>
    <w:p>
      <w:pPr>
        <w:ind w:left="0" w:right="0" w:firstLine="420"/>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4、本项目投标有效期日。</w:t>
      </w:r>
      <w:r/>
    </w:p>
    <w:p>
      <w:pPr>
        <w:ind w:left="0" w:right="0" w:firstLine="420"/>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4、一旦我方成交，我方将根据招标文件的规定，严格履行合同，保证于承诺的时间内完成本项目规定的货物、服务和工程内容。</w:t>
      </w:r>
      <w:r/>
    </w:p>
    <w:p>
      <w:pPr>
        <w:ind w:left="0" w:right="0" w:firstLine="420"/>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方决不提供虚假材料谋取成交、决不采取不正当手段诋毁、排挤其他供应商、决不与采购人、其它供应商恶意串通、决不向采购人、评委小组进行商业贿赂、决不拒绝有关部门监督检查或提供虚假情况，如有违反，无条件接受贵方及相关管理部门的处罚。</w:t>
      </w:r>
      <w:r/>
    </w:p>
    <w:p>
      <w:pPr>
        <w:ind w:left="0" w:right="0" w:firstLine="420"/>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6、我方正式通讯方式为：</w:t>
      </w:r>
      <w:r/>
    </w:p>
    <w:p>
      <w:pPr>
        <w:ind w:left="0" w:right="0" w:firstLine="420"/>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                       </w:t>
      </w:r>
      <w:r/>
    </w:p>
    <w:p>
      <w:pPr>
        <w:ind w:left="0" w:right="0" w:firstLine="420"/>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rPr>
          <w:rFonts w:ascii="SimSun" w:hAnsi="SimSun" w:eastAsia="SimSun" w:cs="SimSun"/>
          <w:color w:val="000000"/>
          <w:sz w:val="24"/>
          <w:u w:val="single"/>
        </w:rPr>
        <w:t xml:space="preserve">                       </w:t>
      </w:r>
      <w:r/>
    </w:p>
    <w:p>
      <w:pPr>
        <w:ind w:left="0" w:right="0" w:firstLine="420"/>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w:t>
      </w:r>
      <w:r>
        <w:rPr>
          <w:rFonts w:ascii="SimSun" w:hAnsi="SimSun" w:eastAsia="SimSun" w:cs="SimSun"/>
          <w:color w:val="000000"/>
          <w:sz w:val="24"/>
          <w:u w:val="single"/>
        </w:rPr>
        <w:t xml:space="preserve">                       </w:t>
      </w:r>
      <w:r/>
    </w:p>
    <w:p>
      <w:pPr>
        <w:ind w:left="0" w:right="0" w:firstLine="420"/>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7、我方正式开户银行和帐号为：</w:t>
      </w:r>
      <w:r/>
    </w:p>
    <w:p>
      <w:pPr>
        <w:ind w:left="0" w:right="0" w:firstLine="420"/>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rPr>
          <w:rFonts w:ascii="SimSun" w:hAnsi="SimSun" w:eastAsia="SimSun" w:cs="SimSun"/>
          <w:color w:val="000000"/>
          <w:sz w:val="24"/>
          <w:u w:val="single"/>
        </w:rPr>
        <w:t xml:space="preserve">                       </w:t>
      </w:r>
      <w:r/>
    </w:p>
    <w:p>
      <w:pPr>
        <w:ind w:left="0" w:right="0" w:firstLine="420"/>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帐    号：</w:t>
      </w:r>
      <w:r>
        <w:rPr>
          <w:rFonts w:ascii="SimSun" w:hAnsi="SimSun" w:eastAsia="SimSun" w:cs="SimSun"/>
          <w:color w:val="000000"/>
          <w:sz w:val="24"/>
          <w:u w:val="single"/>
        </w:rPr>
        <w:t xml:space="preserve">                       </w:t>
      </w:r>
      <w:r/>
    </w:p>
    <w:p>
      <w:pPr>
        <w:ind w:left="0" w:right="0" w:firstLine="420"/>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供应商授权代表姓名（签字）：</w:t>
      </w:r>
      <w:r>
        <w:rPr>
          <w:rFonts w:ascii="SimSun" w:hAnsi="SimSun" w:eastAsia="SimSun" w:cs="SimSun"/>
          <w:color w:val="000000"/>
          <w:sz w:val="24"/>
          <w:u w:val="single"/>
        </w:rPr>
        <w:t xml:space="preserve">         </w:t>
      </w:r>
      <w:r/>
    </w:p>
    <w:p>
      <w:pPr>
        <w:ind w:left="0" w:right="0" w:firstLine="420"/>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rPr>
          <w:rFonts w:ascii="SimSun" w:hAnsi="SimSun" w:eastAsia="SimSun" w:cs="SimSun"/>
          <w:color w:val="000000"/>
          <w:sz w:val="24"/>
          <w:u w:val="single"/>
        </w:rPr>
        <w:t xml:space="preserve">                 </w:t>
      </w:r>
      <w:r/>
    </w:p>
    <w:p>
      <w:pPr>
        <w:ind w:left="0" w:right="0" w:firstLine="240"/>
        <w:jc w:val="center"/>
        <w:spacing w:before="0" w:after="16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 </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五、开标一览表</w:t>
      </w:r>
      <w:r/>
    </w:p>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开标一览表</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投标人名称：（加盖电子公章）</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11"/>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1" w:type="dxa"/>
            <w:vAlign w:val="center"/>
            <w:textDirection w:val="lrTb"/>
            <w:noWrap w:val="false"/>
          </w:tcPr>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小写（元）：</w:t>
            </w:r>
            <w:r/>
          </w:p>
        </w:tc>
      </w:tr>
    </w:tbl>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numPr>
          <w:ilvl w:val="0"/>
          <w:numId w:val="5"/>
        </w:numPr>
        <w:spacing w:before="0" w:after="160" w:line="22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投标分项报价表（格式自拟）</w:t>
      </w:r>
      <w:r/>
    </w:p>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1、报价汇总表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59"/>
        <w:gridCol w:w="1559"/>
        <w:gridCol w:w="1559"/>
        <w:gridCol w:w="1559"/>
        <w:gridCol w:w="1559"/>
        <w:gridCol w:w="1559"/>
      </w:tblGrid>
      <w:tr>
        <w:trPr>
          <w:trHeight w:val="60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小计（元）</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11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周旺1#泵站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112"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周旺2#泵站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114"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周旺3#泵站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116"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周旺4#泵站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117"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唐家村泵站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119"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桥头村泵站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5" w:type="dxa"/>
            <w:vAlign w:val="center"/>
            <w:textDirection w:val="lrTb"/>
            <w:noWrap w:val="false"/>
          </w:tcPr>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投标总价（元）：</w:t>
            </w:r>
            <w:r/>
          </w:p>
        </w:tc>
      </w:tr>
    </w:tbl>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b/>
          <w:color w:val="000000"/>
          <w:sz w:val="24"/>
        </w:rPr>
        <w:t xml:space="preserve">投标分项报价表针对周旺</w:t>
      </w: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泵站、周旺</w:t>
      </w: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泵站、周旺</w:t>
      </w: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泵站、周旺</w:t>
      </w: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泵站、唐家村泵站、桥头村泵站</w:t>
      </w:r>
      <w:r>
        <w:rPr>
          <w:rFonts w:ascii="Times New Roman" w:hAnsi="Times New Roman" w:eastAsia="Times New Roman" w:cs="Times New Roman"/>
          <w:b/>
          <w:color w:val="000000"/>
          <w:sz w:val="24"/>
        </w:rPr>
        <w:t xml:space="preserve">6</w:t>
      </w:r>
      <w:r>
        <w:rPr>
          <w:rFonts w:ascii="SimSun" w:hAnsi="SimSun" w:eastAsia="SimSun" w:cs="SimSun"/>
          <w:b/>
          <w:color w:val="000000"/>
          <w:sz w:val="24"/>
        </w:rPr>
        <w:t xml:space="preserve">个泵站分别报价（格式自拟）</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授权委托人签字或盖章：</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备注：</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1.“投标总报价”应包括为完成整个项目所产生的所有费用，招标文件另有规定的除外。</w:t>
      </w:r>
      <w:r/>
    </w:p>
    <w:p>
      <w:pPr>
        <w:ind w:left="0" w:right="0" w:firstLine="482"/>
        <w:jc w:val="both"/>
        <w:spacing w:before="0" w:after="160" w:line="22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2.《投标分项报价表》中“投标总价”应当与《开标一览表》中“投标总报价”一致。</w:t>
      </w:r>
      <w:r/>
    </w:p>
    <w:p>
      <w:pPr>
        <w:ind w:left="0" w:right="0" w:firstLine="482"/>
        <w:jc w:val="both"/>
        <w:spacing w:before="0" w:after="160" w:line="22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3.供应商所投产品须与“第四章-采购需求”中的产品一一对应，如有缺项、漏项或者不符合技术要求，视为无效投标。</w:t>
      </w:r>
      <w:r/>
    </w:p>
    <w:p>
      <w:pPr>
        <w:ind w:left="0" w:right="0" w:firstLine="482"/>
        <w:jc w:val="both"/>
        <w:spacing w:before="0" w:after="160" w:line="22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4.行数不够，可自行添加。</w:t>
      </w:r>
      <w:r/>
    </w:p>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七、技术要求响应及偏离表</w:t>
      </w:r>
      <w:r/>
    </w:p>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技术要求响应及偏离表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0"/>
        <w:gridCol w:w="2778"/>
        <w:gridCol w:w="2689"/>
        <w:gridCol w:w="31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78"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89"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8" w:type="dxa"/>
            <w:vAlign w:val="top"/>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8" w:type="dxa"/>
            <w:vAlign w:val="top"/>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8" w:type="dxa"/>
            <w:vAlign w:val="top"/>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8" w:type="dxa"/>
            <w:vAlign w:val="top"/>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8" w:type="dxa"/>
            <w:vAlign w:val="top"/>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8" w:type="dxa"/>
            <w:vAlign w:val="top"/>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8" w:type="dxa"/>
            <w:vAlign w:val="top"/>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0" w:type="dxa"/>
            <w:vAlign w:val="top"/>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78" w:type="dxa"/>
            <w:vAlign w:val="top"/>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22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授权委托人签字或盖章：</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备注： </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1.供应商须对招标文件技术要求（采购需求）中的实质性要求（斜体下划线内容或打“★”内容）及其他要求做出明确响应，否则视为无效投标。</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2.行数不够，可自行添加。</w:t>
      </w:r>
      <w:r/>
    </w:p>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八、商务要求响应及偏离表</w:t>
      </w:r>
      <w:r/>
    </w:p>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商务要求响应及偏离表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3"/>
        <w:gridCol w:w="2695"/>
        <w:gridCol w:w="2689"/>
        <w:gridCol w:w="31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5"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89"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77" w:type="dxa"/>
            <w:vAlign w:val="center"/>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正偏离、无偏离或负偏离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5" w:type="dxa"/>
            <w:vAlign w:val="top"/>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5" w:type="dxa"/>
            <w:vAlign w:val="top"/>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5" w:type="dxa"/>
            <w:vAlign w:val="top"/>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5" w:type="dxa"/>
            <w:vAlign w:val="top"/>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5" w:type="dxa"/>
            <w:vAlign w:val="top"/>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5" w:type="dxa"/>
            <w:vAlign w:val="top"/>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5" w:type="dxa"/>
            <w:vAlign w:val="top"/>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3" w:type="dxa"/>
            <w:vAlign w:val="top"/>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5" w:type="dxa"/>
            <w:vAlign w:val="top"/>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22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89" w:type="dxa"/>
            <w:vAlign w:val="top"/>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77" w:type="dxa"/>
            <w:vAlign w:val="top"/>
            <w:textDirection w:val="lrTb"/>
            <w:noWrap w:val="false"/>
          </w:tcPr>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授权委托人签字盖章：</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备注： </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1.供应商须对招标文件商务要求中的实质性要求（斜体下划线内容或打“★”内容）做出明确响应，否则视为无效投标。</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2.行数不够，可自行添加。</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九、中小企业声明函</w:t>
      </w:r>
      <w:r/>
    </w:p>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中小企业声明函（货物）</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工业</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ab/>
        <w:t xml:space="preserve">人</w:t>
      </w:r>
      <w:r>
        <w:rPr>
          <w:rFonts w:ascii="SimSun" w:hAnsi="SimSun" w:eastAsia="SimSun" w:cs="SimSun"/>
          <w:color w:val="000000"/>
          <w:sz w:val="24"/>
        </w:rPr>
        <w:t xml:space="preserve">，营业收入为</w:t>
      </w:r>
      <w:r>
        <w:rPr>
          <w:rFonts w:ascii="SimSun" w:hAnsi="SimSun" w:eastAsia="SimSun" w:cs="SimSun"/>
          <w:color w:val="000000"/>
          <w:sz w:val="24"/>
          <w:u w:val="single"/>
        </w:rPr>
        <w:tab/>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ab/>
        <w:t xml:space="preserve">      万</w:t>
      </w:r>
      <w:r>
        <w:rPr>
          <w:rFonts w:ascii="SimSun" w:hAnsi="SimSun" w:eastAsia="SimSun" w:cs="SimSun"/>
          <w:color w:val="000000"/>
          <w:sz w:val="24"/>
        </w:rPr>
        <w:t xml:space="preserve">元属于</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w:t>
      </w:r>
      <w:r>
        <w:rPr>
          <w:rFonts w:ascii="Wingdings" w:hAnsi="Wingdings" w:eastAsia="Wingdings" w:cs="Wingdings"/>
          <w:color w:val="000000"/>
          <w:sz w:val="24"/>
        </w:rPr>
        <w:t xml:space="preserve">¨</w:t>
      </w:r>
      <w:r>
        <w:rPr>
          <w:rFonts w:ascii="SimSun" w:hAnsi="SimSun" w:eastAsia="SimSun" w:cs="SimSun"/>
          <w:color w:val="000000"/>
          <w:sz w:val="24"/>
        </w:rPr>
        <w:t xml:space="preserve">微型企业。</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,属于工业行业；制造商为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ab/>
        <w:t xml:space="preserve">人</w:t>
      </w:r>
      <w:r>
        <w:rPr>
          <w:rFonts w:ascii="SimSun" w:hAnsi="SimSun" w:eastAsia="SimSun" w:cs="SimSun"/>
          <w:color w:val="000000"/>
          <w:sz w:val="24"/>
        </w:rPr>
        <w:t xml:space="preserve">，营业收入为</w:t>
      </w:r>
      <w:r>
        <w:rPr>
          <w:rFonts w:ascii="SimSun" w:hAnsi="SimSun" w:eastAsia="SimSun" w:cs="SimSun"/>
          <w:color w:val="000000"/>
          <w:sz w:val="24"/>
          <w:u w:val="single"/>
        </w:rPr>
        <w:tab/>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ab/>
        <w:t xml:space="preserve">        </w:t>
      </w:r>
      <w:r>
        <w:rPr>
          <w:rFonts w:ascii="SimSun" w:hAnsi="SimSun" w:eastAsia="SimSun" w:cs="SimSun"/>
          <w:color w:val="000000"/>
          <w:sz w:val="24"/>
        </w:rPr>
        <w:t xml:space="preserve">万元，属于</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w:t>
      </w:r>
      <w:r>
        <w:rPr>
          <w:rFonts w:ascii="Wingdings" w:hAnsi="Wingdings" w:eastAsia="Wingdings" w:cs="Wingdings"/>
          <w:color w:val="000000"/>
          <w:sz w:val="24"/>
        </w:rPr>
        <w:t xml:space="preserve">¨</w:t>
      </w:r>
      <w:r>
        <w:rPr>
          <w:rFonts w:ascii="SimSun" w:hAnsi="SimSun" w:eastAsia="SimSun" w:cs="SimSun"/>
          <w:color w:val="000000"/>
          <w:sz w:val="24"/>
        </w:rPr>
        <w:t xml:space="preserve">微型企业。</w:t>
      </w:r>
      <w:r/>
    </w:p>
    <w:p>
      <w:pPr>
        <w:ind w:left="0" w:right="0" w:firstLine="36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0"/>
        <w:spacing w:before="240" w:after="24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rPr>
        <w:t xml:space="preserve">¨</w:t>
      </w:r>
      <w:r>
        <w:rPr>
          <w:rFonts w:ascii="SimSun" w:hAnsi="SimSun" w:eastAsia="SimSun" w:cs="SimSun"/>
          <w:color w:val="000000"/>
          <w:sz w:val="24"/>
        </w:rPr>
        <w:t xml:space="preserve">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br w:type="page" w:clear="all"/>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十、残疾人福利性单位声明函</w:t>
      </w:r>
      <w:r/>
    </w:p>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残疾人福利性单位声明函</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中国残疾人联合会关于促进残疾人就业政府采购政策的通知》（财库〔2017〕141号）的规定，本单位为符合条件的残疾人福利性单位，参加</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（单位名称）采购编号为</w:t>
      </w:r>
      <w:r>
        <w:rPr>
          <w:rFonts w:ascii="SimSun" w:hAnsi="SimSun" w:eastAsia="SimSun" w:cs="SimSun"/>
          <w:color w:val="000000"/>
          <w:sz w:val="24"/>
          <w:u w:val="single"/>
        </w:rPr>
        <w:t xml:space="preserve">XXXXXXXXXXXXXXXXXXXXXXXXX</w:t>
      </w:r>
      <w:r>
        <w:rPr>
          <w:rFonts w:ascii="SimSun" w:hAnsi="SimSun" w:eastAsia="SimSun" w:cs="SimSun"/>
          <w:color w:val="000000"/>
          <w:sz w:val="24"/>
        </w:rPr>
        <w:t xml:space="preserve">项目（分包号：</w:t>
      </w:r>
      <w:r>
        <w:rPr>
          <w:rFonts w:ascii="SimSun" w:hAnsi="SimSun" w:eastAsia="SimSun" w:cs="SimSun"/>
          <w:color w:val="000000"/>
          <w:sz w:val="24"/>
          <w:u w:val="single"/>
        </w:rPr>
        <w:t xml:space="preserve">XXX</w:t>
      </w:r>
      <w:r>
        <w:rPr>
          <w:rFonts w:ascii="SimSun" w:hAnsi="SimSun" w:eastAsia="SimSun" w:cs="SimSun"/>
          <w:color w:val="000000"/>
          <w:sz w:val="24"/>
        </w:rPr>
        <w:t xml:space="preserve">）的采购活动，服务全部由本单位提供。</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0"/>
        <w:spacing w:before="240" w:after="24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企业名称：（加盖电子公章）</w:t>
      </w:r>
      <w:r/>
    </w:p>
    <w:p>
      <w:pPr>
        <w:ind w:left="0" w:right="0" w:firstLine="600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1.投标人如不提供此声明函，价格将不作相应扣除。</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2.中标人为残疾人福利性单位的，此声明函将随中标结果同时公告，接受社会监督。</w:t>
      </w:r>
      <w:r/>
    </w:p>
    <w:p>
      <w:pPr>
        <w:ind w:left="0" w:right="0" w:firstLine="48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160" w:line="22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SimSun">
    <w:panose1 w:val="02010600030101010101"/>
  </w:font>
  <w:font w:name="Times New Roman">
    <w:panose1 w:val="02020603050405020304"/>
  </w:font>
  <w:font w:name="Segoe UI Symbol">
    <w:panose1 w:val="020B0502040204020203"/>
  </w:font>
  <w:font w:name="MS Gothic">
    <w:panose1 w:val="020B0609070205080204"/>
  </w:font>
  <w:font w:name="FangSong">
    <w:panose1 w:val="02010609060101010101"/>
  </w:font>
  <w:font w:name="SimHei">
    <w:panose1 w:val="02010609060101010101"/>
  </w:font>
  <w:font w:name="Wingdings">
    <w:panose1 w:val="05000000000000000000"/>
  </w:font>
  <w:font w:name="Courier New">
    <w:panose1 w:val="02070309020205020404"/>
  </w:font>
  <w:font w:name="KaiTi">
    <w:panose1 w:val="02010609060101010101"/>
  </w:font>
  <w:font w:name="Symbol">
    <w:panose1 w:val="05050102010706020507"/>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lvl>
    <w:lvl w:ilvl="1">
      <w:start w:val="1"/>
      <w:numFmt w:val="bullet"/>
      <w:isLgl w:val="false"/>
      <w:suff w:val="tab"/>
      <w:lvlText w:val="o"/>
      <w:lvlJc w:val="left"/>
      <w:pPr>
        <w:ind w:left="1440" w:hanging="360"/>
      </w:pPr>
      <w:rPr>
        <w:rFonts w:hint="default" w:ascii="Symbol" w:hAnsi="Symbol" w:eastAsia="Symbol" w:cs="Symbol"/>
      </w:rPr>
    </w:lvl>
    <w:lvl w:ilvl="2">
      <w:start w:val="1"/>
      <w:numFmt w:val="bullet"/>
      <w:isLgl w:val="false"/>
      <w:suff w:val="tab"/>
      <w:lvlText w:val="§"/>
      <w:lvlJc w:val="left"/>
      <w:pPr>
        <w:ind w:left="2160" w:hanging="360"/>
      </w:pPr>
      <w:rPr>
        <w:rFonts w:hint="default" w:ascii="Symbol" w:hAnsi="Symbol" w:eastAsia="Symbol" w:cs="Symbol"/>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Symbol" w:hAnsi="Symbol" w:eastAsia="Symbol" w:cs="Symbol"/>
      </w:rPr>
    </w:lvl>
    <w:lvl w:ilvl="5">
      <w:start w:val="1"/>
      <w:numFmt w:val="bullet"/>
      <w:isLgl w:val="false"/>
      <w:suff w:val="tab"/>
      <w:lvlText w:val="§"/>
      <w:lvlJc w:val="left"/>
      <w:pPr>
        <w:ind w:left="4320" w:hanging="360"/>
      </w:pPr>
      <w:rPr>
        <w:rFonts w:hint="default" w:ascii="Symbol" w:hAnsi="Symbol" w:eastAsia="Symbol" w:cs="Symbol"/>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Symbol" w:hAnsi="Symbol" w:eastAsia="Symbol" w:cs="Symbol"/>
      </w:rPr>
    </w:lvl>
    <w:lvl w:ilvl="8">
      <w:start w:val="1"/>
      <w:numFmt w:val="bullet"/>
      <w:isLgl w:val="false"/>
      <w:suff w:val="tab"/>
      <w:lvlText w:val="§"/>
      <w:lvlJc w:val="left"/>
      <w:pPr>
        <w:ind w:left="6480" w:hanging="360"/>
      </w:pPr>
      <w:rPr>
        <w:rFonts w:hint="default" w:ascii="Symbol" w:hAnsi="Symbol" w:eastAsia="Symbol" w:cs="Symbol"/>
      </w:rPr>
    </w:lvl>
  </w:abstractNum>
  <w:abstractNum w:abstractNumId="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1260" w:hanging="420"/>
      </w:pPr>
      <w:rPr>
        <w:rFonts w:hint="default" w:ascii="Wingdings" w:hAnsi="Wingdings" w:eastAsia="Wingdings" w:cs="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tab"/>
      <w:lvlText w:val="%1、"/>
      <w:lvlJc w:val="left"/>
      <w:pPr>
        <w:ind w:left="1900" w:hanging="640"/>
      </w:pPr>
      <w:rPr>
        <w:rFonts w:ascii="SimHei" w:hAnsi="SimHei" w:eastAsia="SimHei" w:cs="SimHei"/>
        <w:color w:val="000000"/>
      </w:rPr>
    </w:lvl>
    <w:lvl w:ilvl="1">
      <w:start w:val="1"/>
      <w:numFmt w:val="lowerLetter"/>
      <w:isLgl w:val="false"/>
      <w:suff w:val="tab"/>
      <w:lvlText w:val="%2)"/>
      <w:lvlJc w:val="left"/>
      <w:pPr>
        <w:ind w:left="2100" w:hanging="420"/>
      </w:pPr>
    </w:lvl>
    <w:lvl w:ilvl="2">
      <w:start w:val="1"/>
      <w:numFmt w:val="lowerRoman"/>
      <w:isLgl w:val="false"/>
      <w:suff w:val="tab"/>
      <w:lvlText w:val="%3."/>
      <w:lvlJc w:val="right"/>
      <w:pPr>
        <w:ind w:left="2520" w:hanging="420"/>
      </w:pPr>
    </w:lvl>
    <w:lvl w:ilvl="3">
      <w:start w:val="1"/>
      <w:numFmt w:val="decimal"/>
      <w:isLgl w:val="false"/>
      <w:suff w:val="tab"/>
      <w:lvlText w:val="%4."/>
      <w:lvlJc w:val="left"/>
      <w:pPr>
        <w:ind w:left="2940" w:hanging="420"/>
      </w:pPr>
    </w:lvl>
    <w:lvl w:ilvl="4">
      <w:start w:val="1"/>
      <w:numFmt w:val="lowerLetter"/>
      <w:isLgl w:val="false"/>
      <w:suff w:val="tab"/>
      <w:lvlText w:val="%5)"/>
      <w:lvlJc w:val="left"/>
      <w:pPr>
        <w:ind w:left="3360" w:hanging="420"/>
      </w:pPr>
    </w:lvl>
    <w:lvl w:ilvl="5">
      <w:start w:val="1"/>
      <w:numFmt w:val="lowerRoman"/>
      <w:isLgl w:val="false"/>
      <w:suff w:val="tab"/>
      <w:lvlText w:val="%6."/>
      <w:lvlJc w:val="right"/>
      <w:pPr>
        <w:ind w:left="3780" w:hanging="420"/>
      </w:pPr>
    </w:lvl>
    <w:lvl w:ilvl="6">
      <w:start w:val="1"/>
      <w:numFmt w:val="decimal"/>
      <w:isLgl w:val="false"/>
      <w:suff w:val="tab"/>
      <w:lvlText w:val="%7."/>
      <w:lvlJc w:val="left"/>
      <w:pPr>
        <w:ind w:left="4200" w:hanging="420"/>
      </w:pPr>
    </w:lvl>
    <w:lvl w:ilvl="7">
      <w:start w:val="1"/>
      <w:numFmt w:val="lowerLetter"/>
      <w:isLgl w:val="false"/>
      <w:suff w:val="tab"/>
      <w:lvlText w:val="%8)"/>
      <w:lvlJc w:val="left"/>
      <w:pPr>
        <w:ind w:left="4620" w:hanging="420"/>
      </w:pPr>
    </w:lvl>
    <w:lvl w:ilvl="8">
      <w:start w:val="1"/>
      <w:numFmt w:val="lowerRoman"/>
      <w:isLgl w:val="false"/>
      <w:suff w:val="tab"/>
      <w:lvlText w:val="%9."/>
      <w:lvlJc w:val="right"/>
      <w:pPr>
        <w:ind w:left="5040" w:hanging="42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4">
    <w:name w:val="Heading 1"/>
    <w:link w:val="645"/>
    <w:uiPriority w:val="9"/>
    <w:qFormat/>
    <w:pPr>
      <w:keepLines/>
      <w:keepNext/>
      <w:spacing w:before="480" w:after="200"/>
      <w:outlineLvl w:val="0"/>
    </w:pPr>
    <w:rPr>
      <w:rFonts w:ascii="Arial" w:hAnsi="Arial" w:eastAsia="Arial" w:cs="Arial"/>
      <w:sz w:val="40"/>
      <w:szCs w:val="40"/>
    </w:rPr>
  </w:style>
  <w:style w:type="character" w:styleId="645">
    <w:name w:val="Heading 1 Char"/>
    <w:link w:val="644"/>
    <w:uiPriority w:val="9"/>
    <w:rPr>
      <w:rFonts w:ascii="Arial" w:hAnsi="Arial" w:eastAsia="Arial" w:cs="Arial"/>
      <w:sz w:val="40"/>
      <w:szCs w:val="40"/>
    </w:rPr>
  </w:style>
  <w:style w:type="paragraph" w:styleId="646">
    <w:name w:val="Heading 2"/>
    <w:link w:val="647"/>
    <w:uiPriority w:val="9"/>
    <w:unhideWhenUsed/>
    <w:qFormat/>
    <w:pPr>
      <w:keepLines/>
      <w:keepNext/>
      <w:spacing w:before="360" w:after="200"/>
      <w:outlineLvl w:val="1"/>
    </w:pPr>
    <w:rPr>
      <w:rFonts w:ascii="Arial" w:hAnsi="Arial" w:eastAsia="Arial" w:cs="Arial"/>
      <w:sz w:val="34"/>
    </w:rPr>
  </w:style>
  <w:style w:type="character" w:styleId="647">
    <w:name w:val="Heading 2 Char"/>
    <w:link w:val="646"/>
    <w:uiPriority w:val="9"/>
    <w:rPr>
      <w:rFonts w:ascii="Arial" w:hAnsi="Arial" w:eastAsia="Arial" w:cs="Arial"/>
      <w:sz w:val="34"/>
    </w:rPr>
  </w:style>
  <w:style w:type="paragraph" w:styleId="648">
    <w:name w:val="Heading 3"/>
    <w:link w:val="649"/>
    <w:uiPriority w:val="9"/>
    <w:unhideWhenUsed/>
    <w:qFormat/>
    <w:pPr>
      <w:keepLines/>
      <w:keepNext/>
      <w:spacing w:before="320" w:after="200"/>
      <w:outlineLvl w:val="2"/>
    </w:pPr>
    <w:rPr>
      <w:rFonts w:ascii="Arial" w:hAnsi="Arial" w:eastAsia="Arial" w:cs="Arial"/>
      <w:sz w:val="30"/>
      <w:szCs w:val="30"/>
    </w:rPr>
  </w:style>
  <w:style w:type="character" w:styleId="649">
    <w:name w:val="Heading 3 Char"/>
    <w:link w:val="648"/>
    <w:uiPriority w:val="9"/>
    <w:rPr>
      <w:rFonts w:ascii="Arial" w:hAnsi="Arial" w:eastAsia="Arial" w:cs="Arial"/>
      <w:sz w:val="30"/>
      <w:szCs w:val="30"/>
    </w:rPr>
  </w:style>
  <w:style w:type="paragraph" w:styleId="650">
    <w:name w:val="Heading 4"/>
    <w:link w:val="651"/>
    <w:uiPriority w:val="9"/>
    <w:unhideWhenUsed/>
    <w:qFormat/>
    <w:pPr>
      <w:keepLines/>
      <w:keepNext/>
      <w:spacing w:before="320" w:after="200"/>
      <w:outlineLvl w:val="3"/>
    </w:pPr>
    <w:rPr>
      <w:rFonts w:ascii="Arial" w:hAnsi="Arial" w:eastAsia="Arial" w:cs="Arial"/>
      <w:b/>
      <w:bCs/>
      <w:sz w:val="26"/>
      <w:szCs w:val="26"/>
    </w:rPr>
  </w:style>
  <w:style w:type="character" w:styleId="651">
    <w:name w:val="Heading 4 Char"/>
    <w:link w:val="650"/>
    <w:uiPriority w:val="9"/>
    <w:rPr>
      <w:rFonts w:ascii="Arial" w:hAnsi="Arial" w:eastAsia="Arial" w:cs="Arial"/>
      <w:b/>
      <w:bCs/>
      <w:sz w:val="26"/>
      <w:szCs w:val="26"/>
    </w:rPr>
  </w:style>
  <w:style w:type="paragraph" w:styleId="652">
    <w:name w:val="Heading 5"/>
    <w:link w:val="653"/>
    <w:uiPriority w:val="9"/>
    <w:unhideWhenUsed/>
    <w:qFormat/>
    <w:pPr>
      <w:keepLines/>
      <w:keepNext/>
      <w:spacing w:before="320" w:after="200"/>
      <w:outlineLvl w:val="4"/>
    </w:pPr>
    <w:rPr>
      <w:rFonts w:ascii="Arial" w:hAnsi="Arial" w:eastAsia="Arial" w:cs="Arial"/>
      <w:b/>
      <w:bCs/>
      <w:sz w:val="24"/>
      <w:szCs w:val="24"/>
    </w:rPr>
  </w:style>
  <w:style w:type="character" w:styleId="653">
    <w:name w:val="Heading 5 Char"/>
    <w:link w:val="652"/>
    <w:uiPriority w:val="9"/>
    <w:rPr>
      <w:rFonts w:ascii="Arial" w:hAnsi="Arial" w:eastAsia="Arial" w:cs="Arial"/>
      <w:b/>
      <w:bCs/>
      <w:sz w:val="24"/>
      <w:szCs w:val="24"/>
    </w:rPr>
  </w:style>
  <w:style w:type="paragraph" w:styleId="654">
    <w:name w:val="Heading 6"/>
    <w:link w:val="655"/>
    <w:uiPriority w:val="9"/>
    <w:unhideWhenUsed/>
    <w:qFormat/>
    <w:pPr>
      <w:keepLines/>
      <w:keepNext/>
      <w:spacing w:before="320" w:after="200"/>
      <w:outlineLvl w:val="5"/>
    </w:pPr>
    <w:rPr>
      <w:rFonts w:ascii="Arial" w:hAnsi="Arial" w:eastAsia="Arial" w:cs="Arial"/>
      <w:b/>
      <w:bCs/>
      <w:sz w:val="22"/>
      <w:szCs w:val="22"/>
    </w:rPr>
  </w:style>
  <w:style w:type="character" w:styleId="655">
    <w:name w:val="Heading 6 Char"/>
    <w:link w:val="654"/>
    <w:uiPriority w:val="9"/>
    <w:rPr>
      <w:rFonts w:ascii="Arial" w:hAnsi="Arial" w:eastAsia="Arial" w:cs="Arial"/>
      <w:b/>
      <w:bCs/>
      <w:sz w:val="22"/>
      <w:szCs w:val="22"/>
    </w:rPr>
  </w:style>
  <w:style w:type="paragraph" w:styleId="656">
    <w:name w:val="Heading 7"/>
    <w:link w:val="657"/>
    <w:uiPriority w:val="9"/>
    <w:unhideWhenUsed/>
    <w:qFormat/>
    <w:pPr>
      <w:keepLines/>
      <w:keepNext/>
      <w:spacing w:before="320" w:after="200"/>
      <w:outlineLvl w:val="6"/>
    </w:pPr>
    <w:rPr>
      <w:rFonts w:ascii="Arial" w:hAnsi="Arial" w:eastAsia="Arial" w:cs="Arial"/>
      <w:b/>
      <w:bCs/>
      <w:i/>
      <w:iCs/>
      <w:sz w:val="22"/>
      <w:szCs w:val="22"/>
    </w:rPr>
  </w:style>
  <w:style w:type="character" w:styleId="657">
    <w:name w:val="Heading 7 Char"/>
    <w:link w:val="656"/>
    <w:uiPriority w:val="9"/>
    <w:rPr>
      <w:rFonts w:ascii="Arial" w:hAnsi="Arial" w:eastAsia="Arial" w:cs="Arial"/>
      <w:b/>
      <w:bCs/>
      <w:i/>
      <w:iCs/>
      <w:sz w:val="22"/>
      <w:szCs w:val="22"/>
    </w:rPr>
  </w:style>
  <w:style w:type="paragraph" w:styleId="658">
    <w:name w:val="Heading 8"/>
    <w:link w:val="659"/>
    <w:uiPriority w:val="9"/>
    <w:unhideWhenUsed/>
    <w:qFormat/>
    <w:pPr>
      <w:keepLines/>
      <w:keepNext/>
      <w:spacing w:before="320" w:after="200"/>
      <w:outlineLvl w:val="7"/>
    </w:pPr>
    <w:rPr>
      <w:rFonts w:ascii="Arial" w:hAnsi="Arial" w:eastAsia="Arial" w:cs="Arial"/>
      <w:i/>
      <w:iCs/>
      <w:sz w:val="22"/>
      <w:szCs w:val="22"/>
    </w:rPr>
  </w:style>
  <w:style w:type="character" w:styleId="659">
    <w:name w:val="Heading 8 Char"/>
    <w:link w:val="658"/>
    <w:uiPriority w:val="9"/>
    <w:rPr>
      <w:rFonts w:ascii="Arial" w:hAnsi="Arial" w:eastAsia="Arial" w:cs="Arial"/>
      <w:i/>
      <w:iCs/>
      <w:sz w:val="22"/>
      <w:szCs w:val="22"/>
    </w:rPr>
  </w:style>
  <w:style w:type="paragraph" w:styleId="660">
    <w:name w:val="Heading 9"/>
    <w:link w:val="661"/>
    <w:uiPriority w:val="9"/>
    <w:unhideWhenUsed/>
    <w:qFormat/>
    <w:pPr>
      <w:keepLines/>
      <w:keepNext/>
      <w:spacing w:before="320" w:after="200"/>
      <w:outlineLvl w:val="8"/>
    </w:pPr>
    <w:rPr>
      <w:rFonts w:ascii="Arial" w:hAnsi="Arial" w:eastAsia="Arial" w:cs="Arial"/>
      <w:i/>
      <w:iCs/>
      <w:sz w:val="21"/>
      <w:szCs w:val="21"/>
    </w:rPr>
  </w:style>
  <w:style w:type="character" w:styleId="661">
    <w:name w:val="Heading 9 Char"/>
    <w:link w:val="660"/>
    <w:uiPriority w:val="9"/>
    <w:rPr>
      <w:rFonts w:ascii="Arial" w:hAnsi="Arial" w:eastAsia="Arial" w:cs="Arial"/>
      <w:i/>
      <w:iCs/>
      <w:sz w:val="21"/>
      <w:szCs w:val="21"/>
    </w:rPr>
  </w:style>
  <w:style w:type="paragraph" w:styleId="662">
    <w:name w:val="List Paragraph"/>
    <w:uiPriority w:val="34"/>
    <w:qFormat/>
    <w:pPr>
      <w:contextualSpacing/>
      <w:ind w:left="720"/>
    </w:pPr>
  </w:style>
  <w:style w:type="paragraph" w:styleId="663">
    <w:name w:val="No Spacing"/>
    <w:uiPriority w:val="1"/>
    <w:qFormat/>
    <w:pPr>
      <w:spacing w:before="0" w:after="0" w:line="240" w:lineRule="auto"/>
    </w:pPr>
  </w:style>
  <w:style w:type="paragraph" w:styleId="664">
    <w:name w:val="Title"/>
    <w:link w:val="665"/>
    <w:uiPriority w:val="10"/>
    <w:qFormat/>
    <w:pPr>
      <w:contextualSpacing/>
      <w:spacing w:before="300" w:after="200"/>
    </w:pPr>
    <w:rPr>
      <w:sz w:val="48"/>
      <w:szCs w:val="48"/>
    </w:rPr>
  </w:style>
  <w:style w:type="character" w:styleId="665">
    <w:name w:val="Title Char"/>
    <w:link w:val="664"/>
    <w:uiPriority w:val="10"/>
    <w:rPr>
      <w:sz w:val="48"/>
      <w:szCs w:val="48"/>
    </w:rPr>
  </w:style>
  <w:style w:type="paragraph" w:styleId="666">
    <w:name w:val="Subtitle"/>
    <w:link w:val="667"/>
    <w:uiPriority w:val="11"/>
    <w:qFormat/>
    <w:pPr>
      <w:spacing w:before="200" w:after="200"/>
    </w:pPr>
    <w:rPr>
      <w:sz w:val="24"/>
      <w:szCs w:val="24"/>
    </w:rPr>
  </w:style>
  <w:style w:type="character" w:styleId="667">
    <w:name w:val="Subtitle Char"/>
    <w:link w:val="666"/>
    <w:uiPriority w:val="11"/>
    <w:rPr>
      <w:sz w:val="24"/>
      <w:szCs w:val="24"/>
    </w:rPr>
  </w:style>
  <w:style w:type="paragraph" w:styleId="668">
    <w:name w:val="Quote"/>
    <w:link w:val="669"/>
    <w:uiPriority w:val="29"/>
    <w:qFormat/>
    <w:pPr>
      <w:ind w:left="720" w:right="720"/>
    </w:pPr>
    <w:rPr>
      <w:i/>
    </w:rPr>
  </w:style>
  <w:style w:type="character" w:styleId="669">
    <w:name w:val="Quote Char"/>
    <w:link w:val="668"/>
    <w:uiPriority w:val="29"/>
    <w:rPr>
      <w:i/>
    </w:rPr>
  </w:style>
  <w:style w:type="paragraph" w:styleId="670">
    <w:name w:val="Intense Quote"/>
    <w:link w:val="6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1">
    <w:name w:val="Intense Quote Char"/>
    <w:link w:val="670"/>
    <w:uiPriority w:val="30"/>
    <w:rPr>
      <w:i/>
    </w:rPr>
  </w:style>
  <w:style w:type="paragraph" w:styleId="672">
    <w:name w:val="Header"/>
    <w:link w:val="673"/>
    <w:uiPriority w:val="99"/>
    <w:unhideWhenUsed/>
    <w:pPr>
      <w:spacing w:after="0" w:line="240" w:lineRule="auto"/>
      <w:tabs>
        <w:tab w:val="center" w:pos="7143" w:leader="none"/>
        <w:tab w:val="right" w:pos="14287" w:leader="none"/>
      </w:tabs>
    </w:pPr>
  </w:style>
  <w:style w:type="character" w:styleId="673">
    <w:name w:val="Header Char"/>
    <w:link w:val="672"/>
    <w:uiPriority w:val="99"/>
  </w:style>
  <w:style w:type="paragraph" w:styleId="674">
    <w:name w:val="Footer"/>
    <w:link w:val="677"/>
    <w:uiPriority w:val="99"/>
    <w:unhideWhenUsed/>
    <w:pPr>
      <w:spacing w:after="0" w:line="240" w:lineRule="auto"/>
      <w:tabs>
        <w:tab w:val="center" w:pos="7143" w:leader="none"/>
        <w:tab w:val="right" w:pos="14287" w:leader="none"/>
      </w:tabs>
    </w:pPr>
  </w:style>
  <w:style w:type="character" w:styleId="675">
    <w:name w:val="Footer Char"/>
    <w:link w:val="674"/>
    <w:uiPriority w:val="99"/>
  </w:style>
  <w:style w:type="paragraph" w:styleId="676">
    <w:name w:val="Caption"/>
    <w:uiPriority w:val="35"/>
    <w:semiHidden/>
    <w:unhideWhenUsed/>
    <w:qFormat/>
    <w:pPr>
      <w:spacing w:line="276" w:lineRule="auto"/>
    </w:pPr>
    <w:rPr>
      <w:b/>
      <w:bCs/>
      <w:color w:val="4f81bd" w:themeColor="accent1"/>
      <w:sz w:val="18"/>
      <w:szCs w:val="18"/>
    </w:rPr>
  </w:style>
  <w:style w:type="character" w:styleId="677">
    <w:name w:val="Caption Char"/>
    <w:basedOn w:val="676"/>
    <w:link w:val="674"/>
    <w:uiPriority w:val="99"/>
  </w:style>
  <w:style w:type="table" w:styleId="67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4">
    <w:name w:val="Hyperlink"/>
    <w:uiPriority w:val="99"/>
    <w:unhideWhenUsed/>
    <w:rPr>
      <w:color w:val="0000ff" w:themeColor="hyperlink"/>
      <w:u w:val="single"/>
    </w:rPr>
  </w:style>
  <w:style w:type="paragraph" w:styleId="805">
    <w:name w:val="footnote text"/>
    <w:link w:val="806"/>
    <w:uiPriority w:val="99"/>
    <w:semiHidden/>
    <w:unhideWhenUsed/>
    <w:pPr>
      <w:spacing w:after="40" w:line="240" w:lineRule="auto"/>
    </w:pPr>
    <w:rPr>
      <w:sz w:val="18"/>
    </w:rPr>
  </w:style>
  <w:style w:type="character" w:styleId="806">
    <w:name w:val="Footnote Text Char"/>
    <w:link w:val="805"/>
    <w:uiPriority w:val="99"/>
    <w:rPr>
      <w:sz w:val="18"/>
    </w:rPr>
  </w:style>
  <w:style w:type="character" w:styleId="807">
    <w:name w:val="footnote reference"/>
    <w:uiPriority w:val="99"/>
    <w:unhideWhenUsed/>
    <w:rPr>
      <w:vertAlign w:val="superscript"/>
    </w:rPr>
  </w:style>
  <w:style w:type="paragraph" w:styleId="808">
    <w:name w:val="endnote text"/>
    <w:link w:val="809"/>
    <w:uiPriority w:val="99"/>
    <w:semiHidden/>
    <w:unhideWhenUsed/>
    <w:pPr>
      <w:spacing w:after="0" w:line="240" w:lineRule="auto"/>
    </w:pPr>
    <w:rPr>
      <w:sz w:val="20"/>
    </w:rPr>
  </w:style>
  <w:style w:type="character" w:styleId="809">
    <w:name w:val="Endnote Text Char"/>
    <w:link w:val="808"/>
    <w:uiPriority w:val="99"/>
    <w:rPr>
      <w:sz w:val="20"/>
    </w:rPr>
  </w:style>
  <w:style w:type="character" w:styleId="810">
    <w:name w:val="endnote reference"/>
    <w:uiPriority w:val="99"/>
    <w:semiHidden/>
    <w:unhideWhenUsed/>
    <w:rPr>
      <w:vertAlign w:val="superscript"/>
    </w:rPr>
  </w:style>
  <w:style w:type="paragraph" w:styleId="811">
    <w:name w:val="toc 1"/>
    <w:uiPriority w:val="39"/>
    <w:unhideWhenUsed/>
    <w:pPr>
      <w:ind w:left="0" w:right="0" w:firstLine="0"/>
      <w:spacing w:after="57"/>
    </w:pPr>
  </w:style>
  <w:style w:type="paragraph" w:styleId="812">
    <w:name w:val="toc 2"/>
    <w:uiPriority w:val="39"/>
    <w:unhideWhenUsed/>
    <w:pPr>
      <w:ind w:left="283" w:right="0" w:firstLine="0"/>
      <w:spacing w:after="57"/>
    </w:pPr>
  </w:style>
  <w:style w:type="paragraph" w:styleId="813">
    <w:name w:val="toc 3"/>
    <w:uiPriority w:val="39"/>
    <w:unhideWhenUsed/>
    <w:pPr>
      <w:ind w:left="567" w:right="0" w:firstLine="0"/>
      <w:spacing w:after="57"/>
    </w:pPr>
  </w:style>
  <w:style w:type="paragraph" w:styleId="814">
    <w:name w:val="toc 4"/>
    <w:uiPriority w:val="39"/>
    <w:unhideWhenUsed/>
    <w:pPr>
      <w:ind w:left="850" w:right="0" w:firstLine="0"/>
      <w:spacing w:after="57"/>
    </w:pPr>
  </w:style>
  <w:style w:type="paragraph" w:styleId="815">
    <w:name w:val="toc 5"/>
    <w:uiPriority w:val="39"/>
    <w:unhideWhenUsed/>
    <w:pPr>
      <w:ind w:left="1134" w:right="0" w:firstLine="0"/>
      <w:spacing w:after="57"/>
    </w:pPr>
  </w:style>
  <w:style w:type="paragraph" w:styleId="816">
    <w:name w:val="toc 6"/>
    <w:uiPriority w:val="39"/>
    <w:unhideWhenUsed/>
    <w:pPr>
      <w:ind w:left="1417" w:right="0" w:firstLine="0"/>
      <w:spacing w:after="57"/>
    </w:pPr>
  </w:style>
  <w:style w:type="paragraph" w:styleId="817">
    <w:name w:val="toc 7"/>
    <w:uiPriority w:val="39"/>
    <w:unhideWhenUsed/>
    <w:pPr>
      <w:ind w:left="1701" w:right="0" w:firstLine="0"/>
      <w:spacing w:after="57"/>
    </w:pPr>
  </w:style>
  <w:style w:type="paragraph" w:styleId="818">
    <w:name w:val="toc 8"/>
    <w:uiPriority w:val="39"/>
    <w:unhideWhenUsed/>
    <w:pPr>
      <w:ind w:left="1984" w:right="0" w:firstLine="0"/>
      <w:spacing w:after="57"/>
    </w:pPr>
  </w:style>
  <w:style w:type="paragraph" w:styleId="819">
    <w:name w:val="toc 9"/>
    <w:uiPriority w:val="39"/>
    <w:unhideWhenUsed/>
    <w:pPr>
      <w:ind w:left="2268" w:right="0" w:firstLine="0"/>
      <w:spacing w:after="57"/>
    </w:pPr>
  </w:style>
  <w:style w:type="paragraph" w:styleId="820">
    <w:name w:val="TOC Heading"/>
    <w:uiPriority w:val="39"/>
    <w:unhideWhenUsed/>
  </w:style>
  <w:style w:type="paragraph" w:styleId="821">
    <w:name w:val="table of figures"/>
    <w:uiPriority w:val="99"/>
    <w:unhideWhenUsed/>
    <w:pPr>
      <w:spacing w:after="0" w:afterAutospacing="0"/>
    </w:pPr>
  </w:style>
  <w:style w:type="character" w:styleId="822" w:default="1">
    <w:name w:val="Default Paragraph Font"/>
    <w:uiPriority w:val="1"/>
    <w:semiHidden/>
    <w:unhideWhenUsed/>
  </w:style>
  <w:style w:type="numbering" w:styleId="823" w:default="1">
    <w:name w:val="No List"/>
    <w:uiPriority w:val="99"/>
    <w:semiHidden/>
    <w:unhideWhenUsed/>
  </w:style>
  <w:style w:type="paragraph" w:styleId="824" w:default="1">
    <w:name w:val="Normal"/>
    <w:qFormat/>
  </w:style>
  <w:style w:type="table" w:styleId="8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www.ccgp-jiangsu.gov.cn/jiangsu/zlxz/ee/ee3a4bc5a3454aa2b0d9312230633ce9.html" TargetMode="External"/><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李天天</cp:lastModifiedBy>
  <cp:revision>4</cp:revision>
  <dcterms:created xsi:type="dcterms:W3CDTF">2025-11-28T05:34:29Z</dcterms:created>
  <dcterms:modified xsi:type="dcterms:W3CDTF">2025-11-28T07:29:39Z</dcterms:modified>
</cp:coreProperties>
</file>